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57E6" w14:textId="5B3A8012" w:rsidR="00882A24" w:rsidRPr="00CE78A0" w:rsidRDefault="00882A24" w:rsidP="00882A24">
      <w:pPr>
        <w:jc w:val="center"/>
        <w:rPr>
          <w:rFonts w:ascii="Gill Sans MT" w:hAnsi="Gill Sans MT"/>
          <w:b/>
          <w:bCs/>
          <w:sz w:val="32"/>
          <w:szCs w:val="32"/>
        </w:rPr>
      </w:pPr>
      <w:r w:rsidRPr="00CE78A0">
        <w:rPr>
          <w:rFonts w:ascii="Gill Sans MT" w:hAnsi="Gill Sans MT"/>
          <w:b/>
          <w:bCs/>
          <w:sz w:val="32"/>
          <w:szCs w:val="32"/>
        </w:rPr>
        <w:t>The Issue of Child Marriage</w:t>
      </w:r>
    </w:p>
    <w:p w14:paraId="2BC710CF" w14:textId="77777777" w:rsidR="00882A24" w:rsidRPr="00603FE4" w:rsidRDefault="00882A24" w:rsidP="00882A24">
      <w:pPr>
        <w:jc w:val="center"/>
        <w:rPr>
          <w:rFonts w:ascii="Gill Sans MT" w:hAnsi="Gill Sans MT"/>
          <w:sz w:val="26"/>
          <w:szCs w:val="26"/>
          <w:u w:val="single"/>
        </w:rPr>
      </w:pPr>
      <w:r w:rsidRPr="00603FE4">
        <w:rPr>
          <w:rFonts w:ascii="Gill Sans MT" w:hAnsi="Gill Sans MT"/>
          <w:sz w:val="26"/>
          <w:szCs w:val="26"/>
          <w:u w:val="single"/>
        </w:rPr>
        <w:t>Youth Committee, MUNHIGH26</w:t>
      </w:r>
    </w:p>
    <w:p w14:paraId="6DA45B71" w14:textId="77777777" w:rsidR="00882A24" w:rsidRPr="00CE78A0" w:rsidRDefault="00882A24">
      <w:pPr>
        <w:rPr>
          <w:rFonts w:ascii="Gill Sans MT" w:hAnsi="Gill Sans MT"/>
          <w:sz w:val="26"/>
          <w:szCs w:val="26"/>
        </w:rPr>
      </w:pPr>
    </w:p>
    <w:p w14:paraId="511644E9" w14:textId="697A38E4" w:rsidR="00882A24" w:rsidRPr="00CE78A0" w:rsidRDefault="00882A24" w:rsidP="00882A24">
      <w:pPr>
        <w:rPr>
          <w:rFonts w:ascii="Gill Sans MT" w:hAnsi="Gill Sans MT"/>
          <w:sz w:val="26"/>
          <w:szCs w:val="26"/>
        </w:rPr>
      </w:pPr>
      <w:r w:rsidRPr="00CE78A0">
        <w:rPr>
          <w:rFonts w:ascii="Gill Sans MT" w:hAnsi="Gill Sans MT"/>
          <w:sz w:val="26"/>
          <w:szCs w:val="26"/>
        </w:rPr>
        <w:t>Child marriage remains a significant global issue, affecting an estimated 12 million children each year. Defined as any formal or informal union where at least one party is under the age of 18, child marriage is influenced by a combination of cultural traditions, economic pressures, gender inequality, and social norms. Despite international commitments to eliminate the practice, it is still a prominent global issue, particularly in parts of South Asia, sub</w:t>
      </w:r>
      <w:r w:rsidRPr="00CE78A0">
        <w:rPr>
          <w:rFonts w:ascii="Gill Sans MT" w:hAnsi="Gill Sans MT"/>
          <w:sz w:val="26"/>
          <w:szCs w:val="26"/>
        </w:rPr>
        <w:noBreakHyphen/>
        <w:t xml:space="preserve">Saharan Africa, and the Middle East. </w:t>
      </w:r>
    </w:p>
    <w:p w14:paraId="5E5E7795" w14:textId="227FA48B" w:rsidR="00882A24" w:rsidRPr="00CE78A0" w:rsidRDefault="00882A24" w:rsidP="00882A24">
      <w:pPr>
        <w:rPr>
          <w:rFonts w:ascii="Gill Sans MT" w:hAnsi="Gill Sans MT"/>
          <w:sz w:val="26"/>
          <w:szCs w:val="26"/>
        </w:rPr>
      </w:pPr>
      <w:r w:rsidRPr="00CE78A0">
        <w:rPr>
          <w:rFonts w:ascii="Gill Sans MT" w:hAnsi="Gill Sans MT"/>
          <w:sz w:val="26"/>
          <w:szCs w:val="26"/>
        </w:rPr>
        <w:t>Present legal convention on the issue includes the Convention on the Rights of the Child (CRC), the Convention on the Elimination of All Forms of Discrimination Against Women (CEDAW), and various resolutions adopted by the United Nations General Assembly and Human Rights Council. All call on states to set a minimum marriage age of 18 and to implement measures that protect children from forced or early marriage. However, national laws vary widely. Some countries allow exceptions based on parental consent, religious law, or judicial approval, which can undermine efforts to eliminate the practice.</w:t>
      </w:r>
    </w:p>
    <w:p w14:paraId="691E8045" w14:textId="305A063D" w:rsidR="00882A24" w:rsidRPr="00CE78A0" w:rsidRDefault="00882A24" w:rsidP="00882A24">
      <w:pPr>
        <w:rPr>
          <w:rFonts w:ascii="Gill Sans MT" w:hAnsi="Gill Sans MT"/>
          <w:sz w:val="26"/>
          <w:szCs w:val="26"/>
        </w:rPr>
      </w:pPr>
      <w:r w:rsidRPr="00CE78A0">
        <w:rPr>
          <w:rFonts w:ascii="Gill Sans MT" w:hAnsi="Gill Sans MT"/>
          <w:sz w:val="26"/>
          <w:szCs w:val="26"/>
        </w:rPr>
        <w:t>Child marriage has far</w:t>
      </w:r>
      <w:r w:rsidRPr="00CE78A0">
        <w:rPr>
          <w:rFonts w:ascii="Gill Sans MT" w:hAnsi="Gill Sans MT"/>
          <w:sz w:val="26"/>
          <w:szCs w:val="26"/>
        </w:rPr>
        <w:noBreakHyphen/>
        <w:t xml:space="preserve">reaching consequences for both individuals and families. It is closely associated with reduced educational attainment and increased vulnerability to </w:t>
      </w:r>
      <w:r w:rsidR="00177298" w:rsidRPr="00CE78A0">
        <w:rPr>
          <w:rFonts w:ascii="Gill Sans MT" w:hAnsi="Gill Sans MT"/>
          <w:sz w:val="26"/>
          <w:szCs w:val="26"/>
        </w:rPr>
        <w:t>poverty; and</w:t>
      </w:r>
      <w:r w:rsidRPr="00CE78A0">
        <w:rPr>
          <w:rFonts w:ascii="Gill Sans MT" w:hAnsi="Gill Sans MT"/>
          <w:sz w:val="26"/>
          <w:szCs w:val="26"/>
        </w:rPr>
        <w:t xml:space="preserve"> girls who marry early face heightened risks of domestic violence, early pregnancy, and health complications, including maternal mortality. Early marriage also restricts a child’s access to education, employment – and thus limits their experience of and representation in broader society. These impacts contribute to cycles of inequality that can persist across generations.</w:t>
      </w:r>
    </w:p>
    <w:p w14:paraId="522BBB8B" w14:textId="14F9CBA8" w:rsidR="00882A24" w:rsidRPr="00CE78A0" w:rsidRDefault="00882A24" w:rsidP="00882A24">
      <w:pPr>
        <w:rPr>
          <w:rFonts w:ascii="Gill Sans MT" w:hAnsi="Gill Sans MT"/>
          <w:sz w:val="26"/>
          <w:szCs w:val="26"/>
        </w:rPr>
      </w:pPr>
      <w:r w:rsidRPr="00CE78A0">
        <w:rPr>
          <w:rFonts w:ascii="Gill Sans MT" w:hAnsi="Gill Sans MT"/>
          <w:sz w:val="26"/>
          <w:szCs w:val="26"/>
        </w:rPr>
        <w:t>Efforts to address child marriage have expanded significantly in recent years. Governments, NGOs, and international organisations have implemented programmes aimed at legal reform, education, and economic support. Some states have raised the minimum marriage age, removed legal loopholes, or introduced penalties for those who facilitate underage marriages. Others have focused on improving access to schooling, supporting girls’ empowerment initiatives, and promoting public awareness campaigns to shift social norms. Community</w:t>
      </w:r>
      <w:r w:rsidRPr="00CE78A0">
        <w:rPr>
          <w:rFonts w:ascii="Gill Sans MT" w:hAnsi="Gill Sans MT"/>
          <w:sz w:val="26"/>
          <w:szCs w:val="26"/>
        </w:rPr>
        <w:noBreakHyphen/>
        <w:t>based approaches that focus on traditional or religious groups have proven particularly important in regions where child marriage is deeply rooted in cultural and religious tradition.</w:t>
      </w:r>
    </w:p>
    <w:p w14:paraId="72C6B396" w14:textId="255EAE3E" w:rsidR="00882A24" w:rsidRPr="00CE78A0" w:rsidRDefault="00882A24" w:rsidP="00882A24">
      <w:pPr>
        <w:rPr>
          <w:rFonts w:ascii="Gill Sans MT" w:hAnsi="Gill Sans MT"/>
          <w:sz w:val="26"/>
          <w:szCs w:val="26"/>
        </w:rPr>
      </w:pPr>
      <w:r w:rsidRPr="00CE78A0">
        <w:rPr>
          <w:rFonts w:ascii="Gill Sans MT" w:hAnsi="Gill Sans MT"/>
          <w:sz w:val="26"/>
          <w:szCs w:val="26"/>
        </w:rPr>
        <w:t xml:space="preserve">Despite these efforts, progress remains uneven. Conflict and economic instability have contributed to rising rates of child marriage in some regions; and humanitarian </w:t>
      </w:r>
      <w:r w:rsidRPr="00CE78A0">
        <w:rPr>
          <w:rFonts w:ascii="Gill Sans MT" w:hAnsi="Gill Sans MT"/>
          <w:sz w:val="26"/>
          <w:szCs w:val="26"/>
        </w:rPr>
        <w:lastRenderedPageBreak/>
        <w:t>crises often exacerbate vulnerabilities, with limited access to education and social services increasing the likelihood of early marriage. The COVID</w:t>
      </w:r>
      <w:r w:rsidRPr="00CE78A0">
        <w:rPr>
          <w:rFonts w:ascii="Gill Sans MT" w:hAnsi="Gill Sans MT"/>
          <w:sz w:val="26"/>
          <w:szCs w:val="26"/>
        </w:rPr>
        <w:noBreakHyphen/>
        <w:t>19 pandemic further intensified these challenges, disrupting schooling and increasing economic hardship for millions of families.</w:t>
      </w:r>
    </w:p>
    <w:p w14:paraId="4BE47781" w14:textId="58E13010" w:rsidR="00882A24" w:rsidRPr="00CE78A0" w:rsidRDefault="00882A24" w:rsidP="00882A24">
      <w:pPr>
        <w:rPr>
          <w:rFonts w:ascii="Gill Sans MT" w:hAnsi="Gill Sans MT"/>
          <w:sz w:val="26"/>
          <w:szCs w:val="26"/>
        </w:rPr>
      </w:pPr>
      <w:r w:rsidRPr="00CE78A0">
        <w:rPr>
          <w:rFonts w:ascii="Gill Sans MT" w:hAnsi="Gill Sans MT"/>
          <w:sz w:val="26"/>
          <w:szCs w:val="26"/>
        </w:rPr>
        <w:t xml:space="preserve">The international community continues to debate the most effective strategies for eliminating child marriage. While legal reform is essential, many experts emphasise the importance of addressing underlying social and economic factors. This includes expanding access to education and </w:t>
      </w:r>
      <w:r w:rsidR="00603FE4" w:rsidRPr="00CE78A0">
        <w:rPr>
          <w:rFonts w:ascii="Gill Sans MT" w:hAnsi="Gill Sans MT"/>
          <w:sz w:val="26"/>
          <w:szCs w:val="26"/>
        </w:rPr>
        <w:t>healthcare and</w:t>
      </w:r>
      <w:r w:rsidRPr="00CE78A0">
        <w:rPr>
          <w:rFonts w:ascii="Gill Sans MT" w:hAnsi="Gill Sans MT"/>
          <w:sz w:val="26"/>
          <w:szCs w:val="26"/>
        </w:rPr>
        <w:t xml:space="preserve"> promoting gender equality. Long</w:t>
      </w:r>
      <w:r w:rsidRPr="00CE78A0">
        <w:rPr>
          <w:rFonts w:ascii="Gill Sans MT" w:hAnsi="Gill Sans MT"/>
          <w:sz w:val="26"/>
          <w:szCs w:val="26"/>
        </w:rPr>
        <w:noBreakHyphen/>
        <w:t>term solutions require extensive investment and culturally sensitive approaches that respect local contexts while upholding universal human rights standards.</w:t>
      </w:r>
    </w:p>
    <w:p w14:paraId="65B61FDB" w14:textId="77777777" w:rsidR="00177298" w:rsidRPr="00CE78A0" w:rsidRDefault="00177298" w:rsidP="00882A24">
      <w:pPr>
        <w:rPr>
          <w:rFonts w:ascii="Gill Sans MT" w:hAnsi="Gill Sans MT"/>
          <w:sz w:val="26"/>
          <w:szCs w:val="26"/>
        </w:rPr>
      </w:pPr>
    </w:p>
    <w:p w14:paraId="37EA6334" w14:textId="301E492F" w:rsidR="00177298" w:rsidRPr="00603FE4" w:rsidRDefault="00177298" w:rsidP="00882A24">
      <w:pPr>
        <w:rPr>
          <w:rFonts w:ascii="Gill Sans MT" w:hAnsi="Gill Sans MT"/>
          <w:b/>
          <w:bCs/>
          <w:sz w:val="26"/>
          <w:szCs w:val="26"/>
        </w:rPr>
      </w:pPr>
      <w:r w:rsidRPr="00603FE4">
        <w:rPr>
          <w:rFonts w:ascii="Gill Sans MT" w:hAnsi="Gill Sans MT"/>
          <w:b/>
          <w:bCs/>
          <w:sz w:val="26"/>
          <w:szCs w:val="26"/>
        </w:rPr>
        <w:t>Points to Consider:</w:t>
      </w:r>
    </w:p>
    <w:p w14:paraId="7BA9B8D2" w14:textId="55772989" w:rsidR="00177298" w:rsidRPr="00CE78A0" w:rsidRDefault="00AD589E" w:rsidP="00177298">
      <w:pPr>
        <w:pStyle w:val="ListParagraph"/>
        <w:numPr>
          <w:ilvl w:val="0"/>
          <w:numId w:val="1"/>
        </w:numPr>
        <w:rPr>
          <w:rFonts w:ascii="Gill Sans MT" w:hAnsi="Gill Sans MT"/>
          <w:sz w:val="26"/>
          <w:szCs w:val="26"/>
        </w:rPr>
      </w:pPr>
      <w:r w:rsidRPr="00CE78A0">
        <w:rPr>
          <w:rFonts w:ascii="Gill Sans MT" w:hAnsi="Gill Sans MT"/>
          <w:sz w:val="26"/>
          <w:szCs w:val="26"/>
        </w:rPr>
        <w:t xml:space="preserve">What action can be taken to strengthen the existing international legal framework </w:t>
      </w:r>
      <w:r w:rsidR="006E29D6" w:rsidRPr="00CE78A0">
        <w:rPr>
          <w:rFonts w:ascii="Gill Sans MT" w:hAnsi="Gill Sans MT"/>
          <w:sz w:val="26"/>
          <w:szCs w:val="26"/>
        </w:rPr>
        <w:t>addressing child marriage?</w:t>
      </w:r>
    </w:p>
    <w:p w14:paraId="180E02DC" w14:textId="2CCD6966" w:rsidR="006E29D6" w:rsidRPr="00CE78A0" w:rsidRDefault="006E29D6" w:rsidP="00177298">
      <w:pPr>
        <w:pStyle w:val="ListParagraph"/>
        <w:numPr>
          <w:ilvl w:val="0"/>
          <w:numId w:val="1"/>
        </w:numPr>
        <w:rPr>
          <w:rFonts w:ascii="Gill Sans MT" w:hAnsi="Gill Sans MT"/>
          <w:sz w:val="26"/>
          <w:szCs w:val="26"/>
        </w:rPr>
      </w:pPr>
      <w:r w:rsidRPr="00CE78A0">
        <w:rPr>
          <w:rFonts w:ascii="Gill Sans MT" w:hAnsi="Gill Sans MT"/>
          <w:sz w:val="26"/>
          <w:szCs w:val="26"/>
        </w:rPr>
        <w:t xml:space="preserve">How can international social, political, economic and cultural differences be reconciled to provide comprehensive </w:t>
      </w:r>
      <w:r w:rsidR="00A95C8D" w:rsidRPr="00CE78A0">
        <w:rPr>
          <w:rFonts w:ascii="Gill Sans MT" w:hAnsi="Gill Sans MT"/>
          <w:sz w:val="26"/>
          <w:szCs w:val="26"/>
        </w:rPr>
        <w:t>UN guidance on child marriage?</w:t>
      </w:r>
    </w:p>
    <w:p w14:paraId="49F8681E" w14:textId="73C939A0" w:rsidR="00A95C8D" w:rsidRPr="00CE78A0" w:rsidRDefault="00775199" w:rsidP="00177298">
      <w:pPr>
        <w:pStyle w:val="ListParagraph"/>
        <w:numPr>
          <w:ilvl w:val="0"/>
          <w:numId w:val="1"/>
        </w:numPr>
        <w:rPr>
          <w:rFonts w:ascii="Gill Sans MT" w:hAnsi="Gill Sans MT"/>
          <w:sz w:val="26"/>
          <w:szCs w:val="26"/>
        </w:rPr>
      </w:pPr>
      <w:r w:rsidRPr="00CE78A0">
        <w:rPr>
          <w:rFonts w:ascii="Gill Sans MT" w:hAnsi="Gill Sans MT"/>
          <w:sz w:val="26"/>
          <w:szCs w:val="26"/>
        </w:rPr>
        <w:t xml:space="preserve">Which strategies </w:t>
      </w:r>
      <w:r w:rsidR="002B3F90" w:rsidRPr="00CE78A0">
        <w:rPr>
          <w:rFonts w:ascii="Gill Sans MT" w:hAnsi="Gill Sans MT"/>
          <w:sz w:val="26"/>
          <w:szCs w:val="26"/>
        </w:rPr>
        <w:t>are going to be the most effective in mitigating and addressing the issue of child marriage in a modernising and increasingly hostile global sphere?</w:t>
      </w:r>
    </w:p>
    <w:p w14:paraId="74F8ECC6" w14:textId="420E6321" w:rsidR="002B3F90" w:rsidRPr="00CE78A0" w:rsidRDefault="002B3F90" w:rsidP="00177298">
      <w:pPr>
        <w:pStyle w:val="ListParagraph"/>
        <w:numPr>
          <w:ilvl w:val="0"/>
          <w:numId w:val="1"/>
        </w:numPr>
        <w:rPr>
          <w:rFonts w:ascii="Gill Sans MT" w:hAnsi="Gill Sans MT"/>
          <w:sz w:val="26"/>
          <w:szCs w:val="26"/>
        </w:rPr>
      </w:pPr>
      <w:r w:rsidRPr="00CE78A0">
        <w:rPr>
          <w:rFonts w:ascii="Gill Sans MT" w:hAnsi="Gill Sans MT"/>
          <w:sz w:val="26"/>
          <w:szCs w:val="26"/>
        </w:rPr>
        <w:t>How do international guidelines on child marriage interact with the sovereign rights of member states?</w:t>
      </w:r>
    </w:p>
    <w:p w14:paraId="4F2CAA9C" w14:textId="77777777" w:rsidR="000B66FA" w:rsidRPr="00CE78A0" w:rsidRDefault="000B66FA" w:rsidP="000B66FA">
      <w:pPr>
        <w:rPr>
          <w:rFonts w:ascii="Gill Sans MT" w:hAnsi="Gill Sans MT"/>
          <w:sz w:val="26"/>
          <w:szCs w:val="26"/>
        </w:rPr>
      </w:pPr>
    </w:p>
    <w:p w14:paraId="4A80830B" w14:textId="0A71AF08" w:rsidR="000B66FA" w:rsidRPr="00603FE4" w:rsidRDefault="00603FE4" w:rsidP="000B66FA">
      <w:pPr>
        <w:rPr>
          <w:rFonts w:ascii="Gill Sans MT" w:hAnsi="Gill Sans MT"/>
          <w:b/>
          <w:bCs/>
          <w:sz w:val="26"/>
          <w:szCs w:val="26"/>
        </w:rPr>
      </w:pPr>
      <w:r w:rsidRPr="00603FE4">
        <w:rPr>
          <w:rFonts w:ascii="Gill Sans MT" w:hAnsi="Gill Sans MT"/>
          <w:b/>
          <w:bCs/>
          <w:sz w:val="26"/>
          <w:szCs w:val="26"/>
        </w:rPr>
        <w:t>Relevant Resources</w:t>
      </w:r>
      <w:r w:rsidR="000B66FA" w:rsidRPr="00603FE4">
        <w:rPr>
          <w:rFonts w:ascii="Gill Sans MT" w:hAnsi="Gill Sans MT"/>
          <w:b/>
          <w:bCs/>
          <w:sz w:val="26"/>
          <w:szCs w:val="26"/>
        </w:rPr>
        <w:t>:</w:t>
      </w:r>
    </w:p>
    <w:p w14:paraId="4AC68D69" w14:textId="6BD5E5FE" w:rsidR="000B66FA" w:rsidRPr="00CE78A0" w:rsidRDefault="0065129F" w:rsidP="0065129F">
      <w:pPr>
        <w:pStyle w:val="ListParagraph"/>
        <w:numPr>
          <w:ilvl w:val="0"/>
          <w:numId w:val="2"/>
        </w:numPr>
        <w:rPr>
          <w:rFonts w:ascii="Gill Sans MT" w:hAnsi="Gill Sans MT"/>
          <w:sz w:val="26"/>
          <w:szCs w:val="26"/>
        </w:rPr>
      </w:pPr>
      <w:r w:rsidRPr="00CE78A0">
        <w:rPr>
          <w:rFonts w:ascii="Gill Sans MT" w:hAnsi="Gill Sans MT"/>
          <w:sz w:val="26"/>
          <w:szCs w:val="26"/>
        </w:rPr>
        <w:t>UNICEF Guidelines on Child Marriage:</w:t>
      </w:r>
    </w:p>
    <w:p w14:paraId="0152B3F8" w14:textId="1A2EF7E1" w:rsidR="0065129F" w:rsidRPr="00CE78A0" w:rsidRDefault="0065129F" w:rsidP="0065129F">
      <w:pPr>
        <w:ind w:left="720"/>
        <w:rPr>
          <w:rFonts w:ascii="Gill Sans MT" w:hAnsi="Gill Sans MT"/>
          <w:sz w:val="26"/>
          <w:szCs w:val="26"/>
        </w:rPr>
      </w:pPr>
      <w:hyperlink r:id="rId8" w:history="1">
        <w:r w:rsidRPr="00CE78A0">
          <w:rPr>
            <w:rStyle w:val="Hyperlink"/>
            <w:rFonts w:ascii="Gill Sans MT" w:hAnsi="Gill Sans MT"/>
            <w:sz w:val="26"/>
            <w:szCs w:val="26"/>
          </w:rPr>
          <w:t>https://www.unicef.org/protection/child-marriage</w:t>
        </w:r>
      </w:hyperlink>
      <w:r w:rsidRPr="00CE78A0">
        <w:rPr>
          <w:rFonts w:ascii="Gill Sans MT" w:hAnsi="Gill Sans MT"/>
          <w:sz w:val="26"/>
          <w:szCs w:val="26"/>
        </w:rPr>
        <w:t xml:space="preserve"> </w:t>
      </w:r>
    </w:p>
    <w:p w14:paraId="779C823E" w14:textId="2ED5C40E" w:rsidR="006A7336" w:rsidRPr="00CE78A0" w:rsidRDefault="006A7336" w:rsidP="006A7336">
      <w:pPr>
        <w:pStyle w:val="ListParagraph"/>
        <w:numPr>
          <w:ilvl w:val="0"/>
          <w:numId w:val="2"/>
        </w:numPr>
        <w:rPr>
          <w:rFonts w:ascii="Gill Sans MT" w:hAnsi="Gill Sans MT"/>
          <w:sz w:val="26"/>
          <w:szCs w:val="26"/>
        </w:rPr>
      </w:pPr>
      <w:r w:rsidRPr="00CE78A0">
        <w:rPr>
          <w:rFonts w:ascii="Gill Sans MT" w:hAnsi="Gill Sans MT"/>
          <w:sz w:val="26"/>
          <w:szCs w:val="26"/>
        </w:rPr>
        <w:t>UN Women – A Comparative Study of Experiences and Lessons Learned in Ending the Legalisation of Child Marriage:</w:t>
      </w:r>
    </w:p>
    <w:p w14:paraId="78B0DF50" w14:textId="3413320B" w:rsidR="006A7336" w:rsidRPr="00CE78A0" w:rsidRDefault="006A7336" w:rsidP="006A7336">
      <w:pPr>
        <w:ind w:left="720"/>
        <w:rPr>
          <w:rFonts w:ascii="Gill Sans MT" w:hAnsi="Gill Sans MT"/>
          <w:sz w:val="26"/>
          <w:szCs w:val="26"/>
        </w:rPr>
      </w:pPr>
      <w:hyperlink r:id="rId9" w:history="1">
        <w:r w:rsidRPr="00CE78A0">
          <w:rPr>
            <w:rStyle w:val="Hyperlink"/>
            <w:rFonts w:ascii="Gill Sans MT" w:hAnsi="Gill Sans MT"/>
            <w:sz w:val="26"/>
            <w:szCs w:val="26"/>
          </w:rPr>
          <w:t>https://www.unwomen.org/en/digital-library/publications/2023/09/legislating-and-enforcing-the-minimum-age-of-marriage</w:t>
        </w:r>
      </w:hyperlink>
    </w:p>
    <w:p w14:paraId="15A9B6A1" w14:textId="1EB7F2C5" w:rsidR="006A7336" w:rsidRPr="00CE78A0" w:rsidRDefault="002700BE" w:rsidP="002700BE">
      <w:pPr>
        <w:pStyle w:val="ListParagraph"/>
        <w:numPr>
          <w:ilvl w:val="0"/>
          <w:numId w:val="2"/>
        </w:numPr>
        <w:rPr>
          <w:rFonts w:ascii="Gill Sans MT" w:hAnsi="Gill Sans MT"/>
          <w:sz w:val="26"/>
          <w:szCs w:val="26"/>
        </w:rPr>
      </w:pPr>
      <w:r w:rsidRPr="00CE78A0">
        <w:rPr>
          <w:rFonts w:ascii="Gill Sans MT" w:hAnsi="Gill Sans MT"/>
          <w:sz w:val="26"/>
          <w:szCs w:val="26"/>
        </w:rPr>
        <w:t>UN Human Rights Convention on Consent to Marriage, Minimum Age for Marriage and Registration of Marriages:</w:t>
      </w:r>
    </w:p>
    <w:p w14:paraId="1C284CC8" w14:textId="72A2A6E6" w:rsidR="00882A24" w:rsidRPr="00CE78A0" w:rsidRDefault="00475457" w:rsidP="002700BE">
      <w:pPr>
        <w:ind w:left="720"/>
        <w:rPr>
          <w:rFonts w:ascii="Gill Sans MT" w:hAnsi="Gill Sans MT"/>
          <w:sz w:val="26"/>
          <w:szCs w:val="26"/>
        </w:rPr>
      </w:pPr>
      <w:hyperlink r:id="rId10" w:history="1">
        <w:r w:rsidRPr="00CE78A0">
          <w:rPr>
            <w:rStyle w:val="Hyperlink"/>
            <w:rFonts w:ascii="Gill Sans MT" w:hAnsi="Gill Sans MT"/>
            <w:sz w:val="26"/>
            <w:szCs w:val="26"/>
          </w:rPr>
          <w:t>https://www.ohchr.org/en/instruments-mechanisms/instruments/convention-consent-marriage-minimum-age-marriage-and</w:t>
        </w:r>
      </w:hyperlink>
      <w:r w:rsidRPr="00CE78A0">
        <w:rPr>
          <w:rFonts w:ascii="Gill Sans MT" w:hAnsi="Gill Sans MT"/>
          <w:sz w:val="26"/>
          <w:szCs w:val="26"/>
        </w:rPr>
        <w:t xml:space="preserve"> </w:t>
      </w:r>
    </w:p>
    <w:p w14:paraId="709C9A5B" w14:textId="19D019F1" w:rsidR="00475457" w:rsidRPr="00CE78A0" w:rsidRDefault="00475457" w:rsidP="00475457">
      <w:pPr>
        <w:pStyle w:val="ListParagraph"/>
        <w:numPr>
          <w:ilvl w:val="0"/>
          <w:numId w:val="2"/>
        </w:numPr>
        <w:rPr>
          <w:rFonts w:ascii="Gill Sans MT" w:hAnsi="Gill Sans MT"/>
          <w:sz w:val="26"/>
          <w:szCs w:val="26"/>
        </w:rPr>
      </w:pPr>
      <w:r w:rsidRPr="00CE78A0">
        <w:rPr>
          <w:rFonts w:ascii="Gill Sans MT" w:hAnsi="Gill Sans MT"/>
          <w:sz w:val="26"/>
          <w:szCs w:val="26"/>
        </w:rPr>
        <w:lastRenderedPageBreak/>
        <w:t>UNICEF DATA – Child Marriage</w:t>
      </w:r>
    </w:p>
    <w:p w14:paraId="49DEDE3F" w14:textId="728A0748" w:rsidR="00475457" w:rsidRPr="00CE78A0" w:rsidRDefault="009E5B92" w:rsidP="00475457">
      <w:pPr>
        <w:ind w:left="720"/>
        <w:rPr>
          <w:rFonts w:ascii="Gill Sans MT" w:hAnsi="Gill Sans MT"/>
          <w:sz w:val="26"/>
          <w:szCs w:val="26"/>
        </w:rPr>
      </w:pPr>
      <w:hyperlink r:id="rId11" w:history="1">
        <w:r w:rsidRPr="00CE78A0">
          <w:rPr>
            <w:rStyle w:val="Hyperlink"/>
            <w:rFonts w:ascii="Gill Sans MT" w:hAnsi="Gill Sans MT"/>
            <w:sz w:val="26"/>
            <w:szCs w:val="26"/>
          </w:rPr>
          <w:t>https://data.unicef.org/topic/child-protection/child-marriage/</w:t>
        </w:r>
      </w:hyperlink>
      <w:r w:rsidRPr="00CE78A0">
        <w:rPr>
          <w:rFonts w:ascii="Gill Sans MT" w:hAnsi="Gill Sans MT"/>
          <w:sz w:val="26"/>
          <w:szCs w:val="26"/>
        </w:rPr>
        <w:t xml:space="preserve"> </w:t>
      </w:r>
    </w:p>
    <w:sectPr w:rsidR="00475457" w:rsidRPr="00CE7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43DAE"/>
    <w:multiLevelType w:val="hybridMultilevel"/>
    <w:tmpl w:val="F7AA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4365B"/>
    <w:multiLevelType w:val="hybridMultilevel"/>
    <w:tmpl w:val="A15A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611478">
    <w:abstractNumId w:val="0"/>
  </w:num>
  <w:num w:numId="2" w16cid:durableId="175420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24"/>
    <w:rsid w:val="000502DE"/>
    <w:rsid w:val="000B66FA"/>
    <w:rsid w:val="00177298"/>
    <w:rsid w:val="002700BE"/>
    <w:rsid w:val="002B3F90"/>
    <w:rsid w:val="00475457"/>
    <w:rsid w:val="004A3805"/>
    <w:rsid w:val="00603FE4"/>
    <w:rsid w:val="0065129F"/>
    <w:rsid w:val="006A7336"/>
    <w:rsid w:val="006E29D6"/>
    <w:rsid w:val="00775199"/>
    <w:rsid w:val="00882A24"/>
    <w:rsid w:val="009E5B92"/>
    <w:rsid w:val="00A95C8D"/>
    <w:rsid w:val="00AD589E"/>
    <w:rsid w:val="00CE7846"/>
    <w:rsid w:val="00CE78A0"/>
    <w:rsid w:val="00FA1871"/>
    <w:rsid w:val="00FB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F01E"/>
  <w15:chartTrackingRefBased/>
  <w15:docId w15:val="{68F6A4EA-2E96-4006-A593-D67B4DCF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24"/>
  </w:style>
  <w:style w:type="paragraph" w:styleId="Heading1">
    <w:name w:val="heading 1"/>
    <w:basedOn w:val="Normal"/>
    <w:next w:val="Normal"/>
    <w:link w:val="Heading1Char"/>
    <w:uiPriority w:val="9"/>
    <w:qFormat/>
    <w:rsid w:val="0088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A24"/>
    <w:rPr>
      <w:rFonts w:eastAsiaTheme="majorEastAsia" w:cstheme="majorBidi"/>
      <w:color w:val="272727" w:themeColor="text1" w:themeTint="D8"/>
    </w:rPr>
  </w:style>
  <w:style w:type="paragraph" w:styleId="Title">
    <w:name w:val="Title"/>
    <w:basedOn w:val="Normal"/>
    <w:next w:val="Normal"/>
    <w:link w:val="TitleChar"/>
    <w:uiPriority w:val="10"/>
    <w:qFormat/>
    <w:rsid w:val="0088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A24"/>
    <w:pPr>
      <w:spacing w:before="160"/>
      <w:jc w:val="center"/>
    </w:pPr>
    <w:rPr>
      <w:i/>
      <w:iCs/>
      <w:color w:val="404040" w:themeColor="text1" w:themeTint="BF"/>
    </w:rPr>
  </w:style>
  <w:style w:type="character" w:customStyle="1" w:styleId="QuoteChar">
    <w:name w:val="Quote Char"/>
    <w:basedOn w:val="DefaultParagraphFont"/>
    <w:link w:val="Quote"/>
    <w:uiPriority w:val="29"/>
    <w:rsid w:val="00882A24"/>
    <w:rPr>
      <w:i/>
      <w:iCs/>
      <w:color w:val="404040" w:themeColor="text1" w:themeTint="BF"/>
    </w:rPr>
  </w:style>
  <w:style w:type="paragraph" w:styleId="ListParagraph">
    <w:name w:val="List Paragraph"/>
    <w:basedOn w:val="Normal"/>
    <w:uiPriority w:val="34"/>
    <w:qFormat/>
    <w:rsid w:val="00882A24"/>
    <w:pPr>
      <w:ind w:left="720"/>
      <w:contextualSpacing/>
    </w:pPr>
  </w:style>
  <w:style w:type="character" w:styleId="IntenseEmphasis">
    <w:name w:val="Intense Emphasis"/>
    <w:basedOn w:val="DefaultParagraphFont"/>
    <w:uiPriority w:val="21"/>
    <w:qFormat/>
    <w:rsid w:val="00882A24"/>
    <w:rPr>
      <w:i/>
      <w:iCs/>
      <w:color w:val="0F4761" w:themeColor="accent1" w:themeShade="BF"/>
    </w:rPr>
  </w:style>
  <w:style w:type="paragraph" w:styleId="IntenseQuote">
    <w:name w:val="Intense Quote"/>
    <w:basedOn w:val="Normal"/>
    <w:next w:val="Normal"/>
    <w:link w:val="IntenseQuoteChar"/>
    <w:uiPriority w:val="30"/>
    <w:qFormat/>
    <w:rsid w:val="0088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A24"/>
    <w:rPr>
      <w:i/>
      <w:iCs/>
      <w:color w:val="0F4761" w:themeColor="accent1" w:themeShade="BF"/>
    </w:rPr>
  </w:style>
  <w:style w:type="character" w:styleId="IntenseReference">
    <w:name w:val="Intense Reference"/>
    <w:basedOn w:val="DefaultParagraphFont"/>
    <w:uiPriority w:val="32"/>
    <w:qFormat/>
    <w:rsid w:val="00882A24"/>
    <w:rPr>
      <w:b/>
      <w:bCs/>
      <w:smallCaps/>
      <w:color w:val="0F4761" w:themeColor="accent1" w:themeShade="BF"/>
      <w:spacing w:val="5"/>
    </w:rPr>
  </w:style>
  <w:style w:type="character" w:styleId="Hyperlink">
    <w:name w:val="Hyperlink"/>
    <w:basedOn w:val="DefaultParagraphFont"/>
    <w:uiPriority w:val="99"/>
    <w:unhideWhenUsed/>
    <w:rsid w:val="0065129F"/>
    <w:rPr>
      <w:color w:val="467886" w:themeColor="hyperlink"/>
      <w:u w:val="single"/>
    </w:rPr>
  </w:style>
  <w:style w:type="character" w:styleId="UnresolvedMention">
    <w:name w:val="Unresolved Mention"/>
    <w:basedOn w:val="DefaultParagraphFont"/>
    <w:uiPriority w:val="99"/>
    <w:semiHidden/>
    <w:unhideWhenUsed/>
    <w:rsid w:val="0065129F"/>
    <w:rPr>
      <w:color w:val="605E5C"/>
      <w:shd w:val="clear" w:color="auto" w:fill="E1DFDD"/>
    </w:rPr>
  </w:style>
  <w:style w:type="character" w:styleId="FollowedHyperlink">
    <w:name w:val="FollowedHyperlink"/>
    <w:basedOn w:val="DefaultParagraphFont"/>
    <w:uiPriority w:val="99"/>
    <w:semiHidden/>
    <w:unhideWhenUsed/>
    <w:rsid w:val="004754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protection/child-marriag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unicef.org/topic/child-protection/child-marriage/" TargetMode="External"/><Relationship Id="rId5" Type="http://schemas.openxmlformats.org/officeDocument/2006/relationships/styles" Target="styles.xml"/><Relationship Id="rId10" Type="http://schemas.openxmlformats.org/officeDocument/2006/relationships/hyperlink" Target="https://www.ohchr.org/en/instruments-mechanisms/instruments/convention-consent-marriage-minimum-age-marriage-and" TargetMode="External"/><Relationship Id="rId4" Type="http://schemas.openxmlformats.org/officeDocument/2006/relationships/numbering" Target="numbering.xml"/><Relationship Id="rId9" Type="http://schemas.openxmlformats.org/officeDocument/2006/relationships/hyperlink" Target="https://www.unwomen.org/en/digital-library/publications/2023/09/legislating-and-enforcing-the-minimum-age-of-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E924C-24BA-4849-96D9-2F9EECAD5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E4573-9F4C-46CC-8121-C3BD9B0E5499}">
  <ds:schemaRefs>
    <ds:schemaRef ds:uri="http://schemas.microsoft.com/sharepoint/v3/contenttype/forms"/>
  </ds:schemaRefs>
</ds:datastoreItem>
</file>

<file path=customXml/itemProps3.xml><?xml version="1.0" encoding="utf-8"?>
<ds:datastoreItem xmlns:ds="http://schemas.openxmlformats.org/officeDocument/2006/customXml" ds:itemID="{89EF1EFD-6449-478E-898B-CD402AAA9E80}">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Jenkinson (S6KM)</dc:creator>
  <cp:keywords/>
  <dc:description/>
  <cp:lastModifiedBy>Kiyah-Louise Lopez (S6SN)</cp:lastModifiedBy>
  <cp:revision>16</cp:revision>
  <dcterms:created xsi:type="dcterms:W3CDTF">2026-01-21T22:42:00Z</dcterms:created>
  <dcterms:modified xsi:type="dcterms:W3CDTF">2026-01-26T21:46:00Z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