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B607" w14:textId="41E0F773" w:rsidR="009C29E4" w:rsidRPr="003F286C" w:rsidRDefault="00A76BFE" w:rsidP="009C29E4">
      <w:pPr>
        <w:rPr>
          <w:rFonts w:ascii="Gill Sans MT" w:hAnsi="Gill Sans MT"/>
          <w:b/>
          <w:bCs/>
          <w:sz w:val="32"/>
          <w:szCs w:val="32"/>
        </w:rPr>
      </w:pPr>
      <w:r w:rsidRPr="003F286C">
        <w:rPr>
          <w:rFonts w:ascii="Gill Sans MT" w:hAnsi="Gill Sans MT"/>
          <w:b/>
          <w:bCs/>
          <w:sz w:val="32"/>
          <w:szCs w:val="32"/>
        </w:rPr>
        <w:t>The</w:t>
      </w:r>
      <w:r w:rsidR="009C29E4" w:rsidRPr="003F286C">
        <w:rPr>
          <w:rFonts w:ascii="Gill Sans MT" w:hAnsi="Gill Sans MT"/>
          <w:b/>
          <w:bCs/>
          <w:sz w:val="32"/>
          <w:szCs w:val="32"/>
        </w:rPr>
        <w:t xml:space="preserve"> issue of addressing the ongoing violence and humanitarian crisis in Sudan</w:t>
      </w:r>
    </w:p>
    <w:p w14:paraId="6BFC10CC" w14:textId="401D4EAE" w:rsidR="00422C90" w:rsidRPr="003F286C" w:rsidRDefault="00422C90" w:rsidP="00422C90">
      <w:pPr>
        <w:rPr>
          <w:rFonts w:ascii="Gill Sans MT" w:hAnsi="Gill Sans MT"/>
          <w:sz w:val="26"/>
          <w:szCs w:val="26"/>
        </w:rPr>
      </w:pPr>
      <w:r w:rsidRPr="003F286C">
        <w:rPr>
          <w:rFonts w:ascii="Gill Sans MT" w:hAnsi="Gill Sans MT"/>
          <w:sz w:val="26"/>
          <w:szCs w:val="26"/>
        </w:rPr>
        <w:t xml:space="preserve">Since April 2023, Sudan has been engulfed in a brutal civil war that has rapidly evolved into what many characterise as a genocide, particularly in the Darfur region. The conflict began when a power struggle between the Sudanese Armed Forces (SAF) and the powerful paramilitary Rapid Support Forces (RSF) erupted into full-scale warfare across the country. The violence has not only involved frontline battles but also systematic and ethnically targeted attacks on civilians, which align with definitions of genocide under the 1948 Genocide Convention. </w:t>
      </w:r>
      <w:hyperlink r:id="rId8" w:tgtFrame="_blank" w:history="1"/>
    </w:p>
    <w:p w14:paraId="02BCA861" w14:textId="66AC9389" w:rsidR="00422C90" w:rsidRPr="003F286C" w:rsidRDefault="00422C90" w:rsidP="00422C90">
      <w:pPr>
        <w:rPr>
          <w:rFonts w:ascii="Gill Sans MT" w:hAnsi="Gill Sans MT"/>
          <w:sz w:val="26"/>
          <w:szCs w:val="26"/>
        </w:rPr>
      </w:pPr>
      <w:r w:rsidRPr="003F286C">
        <w:rPr>
          <w:rFonts w:ascii="Gill Sans MT" w:hAnsi="Gill Sans MT"/>
          <w:sz w:val="26"/>
          <w:szCs w:val="26"/>
        </w:rPr>
        <w:t xml:space="preserve">The RSF, which has consolidated control over large parts of Darfur, has been accused of orchestrating mass killings, focused attacks on ethnic groups such as the Masalit, Fur, and Zaghawa, and actions including starvation as a weapon of war. A report by the Raoul Wallenberg Centre for Human Rights concluded that the RSF’s conduct against the Masalit non-Arab community amounted to genocide. National governments, including the United States, have officially determined that the RSF committed genocide, citing systematic murder based on ethnicity, sexual violence against women and girls, and other genocidal acts. </w:t>
      </w:r>
    </w:p>
    <w:p w14:paraId="1A943967" w14:textId="0CDA51CE" w:rsidR="00422C90" w:rsidRPr="003F286C" w:rsidRDefault="00422C90" w:rsidP="00422C90">
      <w:pPr>
        <w:rPr>
          <w:rFonts w:ascii="Gill Sans MT" w:hAnsi="Gill Sans MT"/>
          <w:sz w:val="26"/>
          <w:szCs w:val="26"/>
        </w:rPr>
      </w:pPr>
      <w:r w:rsidRPr="003F286C">
        <w:rPr>
          <w:rFonts w:ascii="Gill Sans MT" w:hAnsi="Gill Sans MT"/>
          <w:sz w:val="26"/>
          <w:szCs w:val="26"/>
        </w:rPr>
        <w:t>The humanitarian dimension of this genocide is catastrophic. United Nations agencies and humanitarian organizations report that over 14 million people have been displaced, creating the largest displacement crisis globally</w:t>
      </w:r>
      <w:r w:rsidR="000B2872" w:rsidRPr="003F286C">
        <w:rPr>
          <w:rFonts w:ascii="Gill Sans MT" w:hAnsi="Gill Sans MT"/>
          <w:sz w:val="26"/>
          <w:szCs w:val="26"/>
        </w:rPr>
        <w:t>.</w:t>
      </w:r>
      <w:r w:rsidRPr="003F286C">
        <w:rPr>
          <w:rFonts w:ascii="Gill Sans MT" w:hAnsi="Gill Sans MT"/>
          <w:sz w:val="26"/>
          <w:szCs w:val="26"/>
        </w:rPr>
        <w:t xml:space="preserve"> Attacks on civilian infrastructure have been relentless: healthcare facilities are routinely targeted, with more than 1,600 people killed in assaults on health </w:t>
      </w:r>
      <w:r w:rsidR="000B2872" w:rsidRPr="003F286C">
        <w:rPr>
          <w:rFonts w:ascii="Gill Sans MT" w:hAnsi="Gill Sans MT"/>
          <w:sz w:val="26"/>
          <w:szCs w:val="26"/>
        </w:rPr>
        <w:t>centres</w:t>
      </w:r>
      <w:r w:rsidRPr="003F286C">
        <w:rPr>
          <w:rFonts w:ascii="Gill Sans MT" w:hAnsi="Gill Sans MT"/>
          <w:sz w:val="26"/>
          <w:szCs w:val="26"/>
        </w:rPr>
        <w:t xml:space="preserve"> in 2025 alone, including drone strikes on hospitals in conflict zones. The blockade of aid, sieges of internally displaced person camps such as Zamzam, and deliberate obstruction of food and medical supplies have exacerbated famine conditions, with millions lacking access to lifesaving assistance. </w:t>
      </w:r>
    </w:p>
    <w:p w14:paraId="436AE5AF" w14:textId="5ACBD2DF" w:rsidR="00422C90" w:rsidRPr="003F286C" w:rsidRDefault="00422C90" w:rsidP="00422C90">
      <w:pPr>
        <w:rPr>
          <w:rFonts w:ascii="Gill Sans MT" w:hAnsi="Gill Sans MT"/>
          <w:sz w:val="26"/>
          <w:szCs w:val="26"/>
        </w:rPr>
      </w:pPr>
      <w:r w:rsidRPr="003F286C">
        <w:rPr>
          <w:rFonts w:ascii="Gill Sans MT" w:hAnsi="Gill Sans MT"/>
          <w:sz w:val="26"/>
          <w:szCs w:val="26"/>
        </w:rPr>
        <w:t>Numerous violent episodes illustrate the genocidal pattern. For example, the Zamzam displacement camp, once home to over 500,000 civilians, was subjected to a three-day campaign of house-to-house executions, mass rape, and sexual slavery, with RSF fighters blocking humanitarian aid in the months leading up to the assault</w:t>
      </w:r>
      <w:r w:rsidR="000B2872" w:rsidRPr="003F286C">
        <w:rPr>
          <w:rFonts w:ascii="Gill Sans MT" w:hAnsi="Gill Sans MT"/>
          <w:sz w:val="26"/>
          <w:szCs w:val="26"/>
        </w:rPr>
        <w:t>.</w:t>
      </w:r>
      <w:r w:rsidRPr="003F286C">
        <w:rPr>
          <w:rFonts w:ascii="Gill Sans MT" w:hAnsi="Gill Sans MT"/>
          <w:sz w:val="26"/>
          <w:szCs w:val="26"/>
        </w:rPr>
        <w:t xml:space="preserve"> War crimes, including the execution of unarmed men, hostage-taking, and sexual violence, were documented during RSF’s takeover of </w:t>
      </w:r>
      <w:proofErr w:type="spellStart"/>
      <w:r w:rsidRPr="003F286C">
        <w:rPr>
          <w:rFonts w:ascii="Gill Sans MT" w:hAnsi="Gill Sans MT"/>
          <w:sz w:val="26"/>
          <w:szCs w:val="26"/>
        </w:rPr>
        <w:t>el</w:t>
      </w:r>
      <w:proofErr w:type="spellEnd"/>
      <w:r w:rsidRPr="003F286C">
        <w:rPr>
          <w:rFonts w:ascii="Gill Sans MT" w:hAnsi="Gill Sans MT"/>
          <w:sz w:val="26"/>
          <w:szCs w:val="26"/>
        </w:rPr>
        <w:t xml:space="preserve">-Fasher, a major Darfur city, where hundreds of civilians were reportedly killed and medical staff abducted. Historic atrocities in </w:t>
      </w:r>
      <w:proofErr w:type="spellStart"/>
      <w:r w:rsidRPr="003F286C">
        <w:rPr>
          <w:rFonts w:ascii="Gill Sans MT" w:hAnsi="Gill Sans MT"/>
          <w:sz w:val="26"/>
          <w:szCs w:val="26"/>
        </w:rPr>
        <w:t>Misterei</w:t>
      </w:r>
      <w:proofErr w:type="spellEnd"/>
      <w:r w:rsidRPr="003F286C">
        <w:rPr>
          <w:rFonts w:ascii="Gill Sans MT" w:hAnsi="Gill Sans MT"/>
          <w:sz w:val="26"/>
          <w:szCs w:val="26"/>
        </w:rPr>
        <w:t xml:space="preserve"> and wider West Darfur, where dozens of Masalit civilians were massacred in 2023 and where similar patterns have continued, further underscore the ethnic dimension of violence. </w:t>
      </w:r>
    </w:p>
    <w:p w14:paraId="76FA3D11" w14:textId="37C70DD6" w:rsidR="00422C90" w:rsidRPr="003F286C" w:rsidRDefault="00422C90" w:rsidP="00422C90">
      <w:pPr>
        <w:rPr>
          <w:rFonts w:ascii="Gill Sans MT" w:hAnsi="Gill Sans MT"/>
          <w:sz w:val="26"/>
          <w:szCs w:val="26"/>
        </w:rPr>
      </w:pPr>
      <w:r w:rsidRPr="003F286C">
        <w:rPr>
          <w:rFonts w:ascii="Gill Sans MT" w:hAnsi="Gill Sans MT"/>
          <w:sz w:val="26"/>
          <w:szCs w:val="26"/>
        </w:rPr>
        <w:lastRenderedPageBreak/>
        <w:t xml:space="preserve">While the RSF has been the most widely cited perpetrator of genocide, both SAF and allied militias have also been credibly accused of war crimes and crimes against humanity, including grave incidents in central regions such as Gezira State, where mass killings and disposal of bodies in canals have been reported. </w:t>
      </w:r>
    </w:p>
    <w:p w14:paraId="585687E8" w14:textId="03DA3EEC" w:rsidR="007D6EED" w:rsidRPr="003F286C" w:rsidRDefault="007D6EED" w:rsidP="007D6EED">
      <w:pPr>
        <w:rPr>
          <w:rFonts w:ascii="Gill Sans MT" w:hAnsi="Gill Sans MT"/>
          <w:sz w:val="26"/>
          <w:szCs w:val="26"/>
        </w:rPr>
      </w:pPr>
      <w:r w:rsidRPr="003F286C">
        <w:rPr>
          <w:rFonts w:ascii="Gill Sans MT" w:hAnsi="Gill Sans MT"/>
          <w:sz w:val="26"/>
          <w:szCs w:val="26"/>
        </w:rPr>
        <w:t>A further dimension of the crisis concerns the alleged complicity of external actors, particularly the United Arab Emirates (UAE) and certain Western states, in enabling the genocide in Sudan. Investigations by human rights organisations and arms monitoring groups have documented evidence suggesting that the UAE has provided material, financial, and logistical support to the Rapid Support Forces, including the transfer of weapons through regional intermediaries despite an existing UN arms embargo on Darfur. These weapons have reportedly been used in ethnically targeted attacks against civilian populations, especially in West Darfur. In 2024, Sudan initiated proceedings at the International Court of Justice accusing the UAE of complicity in genocide, arguing that its support to the RSF contributed directly to the commission of genocidal acts, which the UAE denies.</w:t>
      </w:r>
    </w:p>
    <w:p w14:paraId="7BC21D39" w14:textId="6FD81ED0" w:rsidR="000B2872" w:rsidRPr="003F286C" w:rsidRDefault="007D6EED" w:rsidP="00422C90">
      <w:pPr>
        <w:rPr>
          <w:rFonts w:ascii="Gill Sans MT" w:hAnsi="Gill Sans MT"/>
          <w:sz w:val="26"/>
          <w:szCs w:val="26"/>
        </w:rPr>
      </w:pPr>
      <w:r w:rsidRPr="003F286C">
        <w:rPr>
          <w:rFonts w:ascii="Gill Sans MT" w:hAnsi="Gill Sans MT"/>
          <w:sz w:val="26"/>
          <w:szCs w:val="26"/>
        </w:rPr>
        <w:t>Western states have also been criticised for indirect complicity through continued arms sales, political partnerships, and insufficient enforcement of international legal obligations. Several European countries and the United States maintain close security and trade relationships with Gulf states, including the UAE, while failing to adequately regulate the end use of exported weapons or respond decisively to evidence of diversion to Sudanese armed groups. Additionally, critics argue that delayed international action, weak sanctions enforcement, and the prioritisation of regional stability and strategic alliances over civilian protection have allowed atrocities to continue with relative impunity. This combination of material support, diplomatic shielding, and inaction has raised serious questions about the responsibility of external actors under international law, particularly in relation to the duty to prevent and punish genocide.</w:t>
      </w:r>
    </w:p>
    <w:p w14:paraId="7905B4DA" w14:textId="05806B53" w:rsidR="00422C90" w:rsidRPr="003F286C" w:rsidRDefault="00422C90" w:rsidP="00422C90">
      <w:pPr>
        <w:rPr>
          <w:rFonts w:ascii="Gill Sans MT" w:hAnsi="Gill Sans MT"/>
          <w:sz w:val="26"/>
          <w:szCs w:val="26"/>
        </w:rPr>
      </w:pPr>
      <w:r w:rsidRPr="003F286C">
        <w:rPr>
          <w:rFonts w:ascii="Gill Sans MT" w:hAnsi="Gill Sans MT"/>
          <w:sz w:val="26"/>
          <w:szCs w:val="26"/>
        </w:rPr>
        <w:t xml:space="preserve">The war has created </w:t>
      </w:r>
      <w:r w:rsidR="000B2872" w:rsidRPr="003F286C">
        <w:rPr>
          <w:rFonts w:ascii="Gill Sans MT" w:hAnsi="Gill Sans MT"/>
          <w:sz w:val="26"/>
          <w:szCs w:val="26"/>
        </w:rPr>
        <w:t xml:space="preserve">one of </w:t>
      </w:r>
      <w:r w:rsidRPr="003F286C">
        <w:rPr>
          <w:rFonts w:ascii="Gill Sans MT" w:hAnsi="Gill Sans MT"/>
          <w:sz w:val="26"/>
          <w:szCs w:val="26"/>
        </w:rPr>
        <w:t xml:space="preserve">the world’s worst humanitarian </w:t>
      </w:r>
      <w:r w:rsidR="003F286C" w:rsidRPr="003F286C">
        <w:rPr>
          <w:rFonts w:ascii="Gill Sans MT" w:hAnsi="Gill Sans MT"/>
          <w:sz w:val="26"/>
          <w:szCs w:val="26"/>
        </w:rPr>
        <w:t>crises</w:t>
      </w:r>
      <w:r w:rsidRPr="003F286C">
        <w:rPr>
          <w:rFonts w:ascii="Gill Sans MT" w:hAnsi="Gill Sans MT"/>
          <w:sz w:val="26"/>
          <w:szCs w:val="26"/>
        </w:rPr>
        <w:t xml:space="preserve">, with UN agencies noting tens of millions in need of aid, waves of famine, and widespread disease outbreaks. International responses have included sanctions against RSF leaders, humanitarian interventions, and ICJ litigation, but sustained violence and obstruction on the ground have limited practical protection for civilians. </w:t>
      </w:r>
    </w:p>
    <w:p w14:paraId="6AF7FCD0" w14:textId="7D4268FC" w:rsidR="00422C90" w:rsidRPr="003F286C" w:rsidRDefault="00422C90" w:rsidP="00422C90">
      <w:pPr>
        <w:rPr>
          <w:rFonts w:ascii="Gill Sans MT" w:hAnsi="Gill Sans MT"/>
          <w:sz w:val="26"/>
          <w:szCs w:val="26"/>
        </w:rPr>
      </w:pPr>
      <w:r w:rsidRPr="003F286C">
        <w:rPr>
          <w:rFonts w:ascii="Gill Sans MT" w:hAnsi="Gill Sans MT"/>
          <w:sz w:val="26"/>
          <w:szCs w:val="26"/>
        </w:rPr>
        <w:t xml:space="preserve">In sum, the conflict in Sudan has moved beyond mere civil war: the deliberate and systematic targeting of ethnic groups, the mass destruction of civilian life and infrastructure, starvation tactics, and the scale of displacement and death meet core elements of genocide as defined in international law. </w:t>
      </w:r>
      <w:r w:rsidR="000B2872" w:rsidRPr="003F286C">
        <w:rPr>
          <w:rFonts w:ascii="Gill Sans MT" w:hAnsi="Gill Sans MT"/>
          <w:sz w:val="26"/>
          <w:szCs w:val="26"/>
        </w:rPr>
        <w:t>The situation in Sudan illustrates the close linkage between humanitarian crisis and justice failure.</w:t>
      </w:r>
    </w:p>
    <w:p w14:paraId="7EBA45C4" w14:textId="5CBFC757" w:rsidR="009C29E4" w:rsidRPr="003F286C" w:rsidRDefault="007D6EED">
      <w:pPr>
        <w:rPr>
          <w:rFonts w:ascii="Gill Sans MT" w:hAnsi="Gill Sans MT"/>
          <w:b/>
          <w:bCs/>
          <w:sz w:val="26"/>
          <w:szCs w:val="26"/>
        </w:rPr>
      </w:pPr>
      <w:r w:rsidRPr="003F286C">
        <w:rPr>
          <w:rFonts w:ascii="Gill Sans MT" w:hAnsi="Gill Sans MT"/>
          <w:b/>
          <w:bCs/>
          <w:sz w:val="26"/>
          <w:szCs w:val="26"/>
        </w:rPr>
        <w:lastRenderedPageBreak/>
        <w:t xml:space="preserve">Points to </w:t>
      </w:r>
      <w:r w:rsidR="003F286C">
        <w:rPr>
          <w:rFonts w:ascii="Gill Sans MT" w:hAnsi="Gill Sans MT"/>
          <w:b/>
          <w:bCs/>
          <w:sz w:val="26"/>
          <w:szCs w:val="26"/>
        </w:rPr>
        <w:t>C</w:t>
      </w:r>
      <w:r w:rsidRPr="003F286C">
        <w:rPr>
          <w:rFonts w:ascii="Gill Sans MT" w:hAnsi="Gill Sans MT"/>
          <w:b/>
          <w:bCs/>
          <w:sz w:val="26"/>
          <w:szCs w:val="26"/>
        </w:rPr>
        <w:t xml:space="preserve">onsider: </w:t>
      </w:r>
    </w:p>
    <w:p w14:paraId="65DED56C"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What immediate steps can the international community take to protect civilians in Sudan?</w:t>
      </w:r>
    </w:p>
    <w:p w14:paraId="30AE72FE"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How can humanitarian access be improved without exacerbating the conflict?</w:t>
      </w:r>
    </w:p>
    <w:p w14:paraId="2F7E3D30"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What role should regional organizations play alongside the United Nations?</w:t>
      </w:r>
    </w:p>
    <w:p w14:paraId="18FE15C9"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Should the UN consider stronger measures such as sanctions or arms embargoes, and under what conditions?</w:t>
      </w:r>
    </w:p>
    <w:p w14:paraId="66966E19"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How can accountability for violations of international humanitarian and human rights law be ensured?</w:t>
      </w:r>
    </w:p>
    <w:p w14:paraId="340AAA1F" w14:textId="77777777" w:rsidR="007D6EED" w:rsidRPr="003F286C" w:rsidRDefault="007D6EED" w:rsidP="003F286C">
      <w:pPr>
        <w:pStyle w:val="ListParagraph"/>
        <w:numPr>
          <w:ilvl w:val="0"/>
          <w:numId w:val="3"/>
        </w:numPr>
        <w:rPr>
          <w:rFonts w:ascii="Gill Sans MT" w:hAnsi="Gill Sans MT"/>
          <w:sz w:val="26"/>
          <w:szCs w:val="26"/>
        </w:rPr>
      </w:pPr>
      <w:r w:rsidRPr="003F286C">
        <w:rPr>
          <w:rFonts w:ascii="Gill Sans MT" w:hAnsi="Gill Sans MT"/>
          <w:sz w:val="26"/>
          <w:szCs w:val="26"/>
        </w:rPr>
        <w:t>What long-term strategies can support a return to civilian-led governance and sustainable peace?</w:t>
      </w:r>
    </w:p>
    <w:p w14:paraId="1A467D78" w14:textId="1B7110C3" w:rsidR="007D6EED" w:rsidRPr="003F286C" w:rsidRDefault="007D6EED" w:rsidP="007D6EED">
      <w:pPr>
        <w:rPr>
          <w:rFonts w:ascii="Gill Sans MT" w:hAnsi="Gill Sans MT"/>
          <w:b/>
          <w:bCs/>
          <w:sz w:val="26"/>
          <w:szCs w:val="26"/>
        </w:rPr>
      </w:pPr>
    </w:p>
    <w:p w14:paraId="3D58DAA4" w14:textId="403BC718" w:rsidR="007D6EED" w:rsidRPr="003F286C" w:rsidRDefault="003F286C" w:rsidP="007D6EED">
      <w:pPr>
        <w:rPr>
          <w:rFonts w:ascii="Gill Sans MT" w:hAnsi="Gill Sans MT"/>
          <w:b/>
          <w:bCs/>
          <w:sz w:val="26"/>
          <w:szCs w:val="26"/>
        </w:rPr>
      </w:pPr>
      <w:r>
        <w:rPr>
          <w:rFonts w:ascii="Gill Sans MT" w:hAnsi="Gill Sans MT"/>
          <w:b/>
          <w:bCs/>
          <w:sz w:val="26"/>
          <w:szCs w:val="26"/>
        </w:rPr>
        <w:t>Relevant Resources</w:t>
      </w:r>
      <w:r w:rsidR="007D6EED" w:rsidRPr="003F286C">
        <w:rPr>
          <w:rFonts w:ascii="Gill Sans MT" w:hAnsi="Gill Sans MT"/>
          <w:b/>
          <w:bCs/>
          <w:sz w:val="26"/>
          <w:szCs w:val="26"/>
        </w:rPr>
        <w:t>:</w:t>
      </w:r>
    </w:p>
    <w:p w14:paraId="36BF34ED" w14:textId="434BBB89" w:rsidR="007D6EED" w:rsidRPr="003F286C" w:rsidRDefault="007D6EED" w:rsidP="003F286C">
      <w:pPr>
        <w:pStyle w:val="ListParagraph"/>
        <w:numPr>
          <w:ilvl w:val="0"/>
          <w:numId w:val="4"/>
        </w:numPr>
        <w:rPr>
          <w:rFonts w:ascii="Gill Sans MT" w:hAnsi="Gill Sans MT"/>
          <w:sz w:val="26"/>
          <w:szCs w:val="26"/>
        </w:rPr>
      </w:pPr>
      <w:hyperlink r:id="rId9" w:history="1">
        <w:r w:rsidRPr="003F286C">
          <w:rPr>
            <w:rStyle w:val="Hyperlink"/>
            <w:rFonts w:ascii="Gill Sans MT" w:hAnsi="Gill Sans MT"/>
            <w:sz w:val="26"/>
            <w:szCs w:val="26"/>
          </w:rPr>
          <w:t>https://caat.org.uk/news/genocide-in-sudan-the-role-of-the-uae-and-the-complicity-of-the-west/</w:t>
        </w:r>
      </w:hyperlink>
      <w:r w:rsidRPr="003F286C">
        <w:rPr>
          <w:rFonts w:ascii="Gill Sans MT" w:hAnsi="Gill Sans MT"/>
          <w:sz w:val="26"/>
          <w:szCs w:val="26"/>
        </w:rPr>
        <w:t xml:space="preserve"> - the genocide in west and outlines the complicity of certain countries</w:t>
      </w:r>
    </w:p>
    <w:p w14:paraId="2EFE648B" w14:textId="34D0D16F" w:rsidR="007D6EED" w:rsidRPr="003F286C" w:rsidRDefault="007D6EED" w:rsidP="003F286C">
      <w:pPr>
        <w:pStyle w:val="ListParagraph"/>
        <w:numPr>
          <w:ilvl w:val="0"/>
          <w:numId w:val="4"/>
        </w:numPr>
        <w:rPr>
          <w:rFonts w:ascii="Gill Sans MT" w:hAnsi="Gill Sans MT"/>
          <w:sz w:val="26"/>
          <w:szCs w:val="26"/>
        </w:rPr>
      </w:pPr>
      <w:hyperlink r:id="rId10" w:history="1">
        <w:r w:rsidRPr="003F286C">
          <w:rPr>
            <w:rStyle w:val="Hyperlink"/>
            <w:rFonts w:ascii="Gill Sans MT" w:hAnsi="Gill Sans MT"/>
            <w:sz w:val="26"/>
            <w:szCs w:val="26"/>
          </w:rPr>
          <w:t>https://www.amnesty.org/en/projects/sudan-conflict/?utm_source=chatgpt.com</w:t>
        </w:r>
      </w:hyperlink>
      <w:r w:rsidRPr="003F286C">
        <w:rPr>
          <w:rFonts w:ascii="Gill Sans MT" w:hAnsi="Gill Sans MT"/>
          <w:sz w:val="26"/>
          <w:szCs w:val="26"/>
        </w:rPr>
        <w:t xml:space="preserve"> – amnesty overview of the issue</w:t>
      </w:r>
    </w:p>
    <w:p w14:paraId="0DA35A27" w14:textId="6411C030" w:rsidR="007D6EED" w:rsidRPr="003F286C" w:rsidRDefault="007D6EED" w:rsidP="003F286C">
      <w:pPr>
        <w:pStyle w:val="ListParagraph"/>
        <w:numPr>
          <w:ilvl w:val="0"/>
          <w:numId w:val="4"/>
        </w:numPr>
        <w:rPr>
          <w:rFonts w:ascii="Gill Sans MT" w:hAnsi="Gill Sans MT"/>
          <w:sz w:val="26"/>
          <w:szCs w:val="26"/>
        </w:rPr>
      </w:pPr>
      <w:hyperlink r:id="rId11" w:history="1">
        <w:r w:rsidRPr="003F286C">
          <w:rPr>
            <w:rStyle w:val="Hyperlink"/>
            <w:rFonts w:ascii="Gill Sans MT" w:hAnsi="Gill Sans MT"/>
            <w:sz w:val="26"/>
            <w:szCs w:val="26"/>
          </w:rPr>
          <w:t>https://www.icc-cpi.int/darfur</w:t>
        </w:r>
      </w:hyperlink>
      <w:r w:rsidRPr="003F286C">
        <w:rPr>
          <w:rFonts w:ascii="Gill Sans MT" w:hAnsi="Gill Sans MT"/>
          <w:sz w:val="26"/>
          <w:szCs w:val="26"/>
        </w:rPr>
        <w:t xml:space="preserve"> - ICC profile view on Sudan</w:t>
      </w:r>
    </w:p>
    <w:sectPr w:rsidR="007D6EED" w:rsidRPr="003F2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F262C"/>
    <w:multiLevelType w:val="multilevel"/>
    <w:tmpl w:val="30BC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F7782"/>
    <w:multiLevelType w:val="hybridMultilevel"/>
    <w:tmpl w:val="3656F2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9C2B7F"/>
    <w:multiLevelType w:val="hybridMultilevel"/>
    <w:tmpl w:val="84808C26"/>
    <w:lvl w:ilvl="0" w:tplc="D158DDB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E77B6"/>
    <w:multiLevelType w:val="hybridMultilevel"/>
    <w:tmpl w:val="FFFADB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0749827">
    <w:abstractNumId w:val="2"/>
  </w:num>
  <w:num w:numId="2" w16cid:durableId="1670907438">
    <w:abstractNumId w:val="0"/>
  </w:num>
  <w:num w:numId="3" w16cid:durableId="1085032515">
    <w:abstractNumId w:val="3"/>
  </w:num>
  <w:num w:numId="4" w16cid:durableId="40148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E4"/>
    <w:rsid w:val="000B2872"/>
    <w:rsid w:val="003F286C"/>
    <w:rsid w:val="00422C90"/>
    <w:rsid w:val="00562513"/>
    <w:rsid w:val="00656292"/>
    <w:rsid w:val="006F4B38"/>
    <w:rsid w:val="007D6EED"/>
    <w:rsid w:val="009C29E4"/>
    <w:rsid w:val="00A76BFE"/>
    <w:rsid w:val="00F6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280B"/>
  <w15:chartTrackingRefBased/>
  <w15:docId w15:val="{37DA3518-5AE9-4AC4-B2E2-DC7C747C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9E4"/>
    <w:rPr>
      <w:rFonts w:eastAsiaTheme="majorEastAsia" w:cstheme="majorBidi"/>
      <w:color w:val="272727" w:themeColor="text1" w:themeTint="D8"/>
    </w:rPr>
  </w:style>
  <w:style w:type="paragraph" w:styleId="Title">
    <w:name w:val="Title"/>
    <w:basedOn w:val="Normal"/>
    <w:next w:val="Normal"/>
    <w:link w:val="TitleChar"/>
    <w:uiPriority w:val="10"/>
    <w:qFormat/>
    <w:rsid w:val="009C2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9E4"/>
    <w:pPr>
      <w:spacing w:before="160"/>
      <w:jc w:val="center"/>
    </w:pPr>
    <w:rPr>
      <w:i/>
      <w:iCs/>
      <w:color w:val="404040" w:themeColor="text1" w:themeTint="BF"/>
    </w:rPr>
  </w:style>
  <w:style w:type="character" w:customStyle="1" w:styleId="QuoteChar">
    <w:name w:val="Quote Char"/>
    <w:basedOn w:val="DefaultParagraphFont"/>
    <w:link w:val="Quote"/>
    <w:uiPriority w:val="29"/>
    <w:rsid w:val="009C29E4"/>
    <w:rPr>
      <w:i/>
      <w:iCs/>
      <w:color w:val="404040" w:themeColor="text1" w:themeTint="BF"/>
    </w:rPr>
  </w:style>
  <w:style w:type="paragraph" w:styleId="ListParagraph">
    <w:name w:val="List Paragraph"/>
    <w:basedOn w:val="Normal"/>
    <w:uiPriority w:val="34"/>
    <w:qFormat/>
    <w:rsid w:val="009C29E4"/>
    <w:pPr>
      <w:ind w:left="720"/>
      <w:contextualSpacing/>
    </w:pPr>
  </w:style>
  <w:style w:type="character" w:styleId="IntenseEmphasis">
    <w:name w:val="Intense Emphasis"/>
    <w:basedOn w:val="DefaultParagraphFont"/>
    <w:uiPriority w:val="21"/>
    <w:qFormat/>
    <w:rsid w:val="009C29E4"/>
    <w:rPr>
      <w:i/>
      <w:iCs/>
      <w:color w:val="0F4761" w:themeColor="accent1" w:themeShade="BF"/>
    </w:rPr>
  </w:style>
  <w:style w:type="paragraph" w:styleId="IntenseQuote">
    <w:name w:val="Intense Quote"/>
    <w:basedOn w:val="Normal"/>
    <w:next w:val="Normal"/>
    <w:link w:val="IntenseQuoteChar"/>
    <w:uiPriority w:val="30"/>
    <w:qFormat/>
    <w:rsid w:val="009C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9E4"/>
    <w:rPr>
      <w:i/>
      <w:iCs/>
      <w:color w:val="0F4761" w:themeColor="accent1" w:themeShade="BF"/>
    </w:rPr>
  </w:style>
  <w:style w:type="character" w:styleId="IntenseReference">
    <w:name w:val="Intense Reference"/>
    <w:basedOn w:val="DefaultParagraphFont"/>
    <w:uiPriority w:val="32"/>
    <w:qFormat/>
    <w:rsid w:val="009C29E4"/>
    <w:rPr>
      <w:b/>
      <w:bCs/>
      <w:smallCaps/>
      <w:color w:val="0F4761" w:themeColor="accent1" w:themeShade="BF"/>
      <w:spacing w:val="5"/>
    </w:rPr>
  </w:style>
  <w:style w:type="character" w:styleId="Hyperlink">
    <w:name w:val="Hyperlink"/>
    <w:basedOn w:val="DefaultParagraphFont"/>
    <w:uiPriority w:val="99"/>
    <w:unhideWhenUsed/>
    <w:rsid w:val="00422C90"/>
    <w:rPr>
      <w:color w:val="467886" w:themeColor="hyperlink"/>
      <w:u w:val="single"/>
    </w:rPr>
  </w:style>
  <w:style w:type="character" w:styleId="UnresolvedMention">
    <w:name w:val="Unresolved Mention"/>
    <w:basedOn w:val="DefaultParagraphFont"/>
    <w:uiPriority w:val="99"/>
    <w:semiHidden/>
    <w:unhideWhenUsed/>
    <w:rsid w:val="0042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at.org.uk/news/genocide-in-sudan-the-role-of-the-uae-and-the-complicity-of-the-west/?utm_source=chatgpt.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c-cpi.int/darfur" TargetMode="External"/><Relationship Id="rId5" Type="http://schemas.openxmlformats.org/officeDocument/2006/relationships/styles" Target="styles.xml"/><Relationship Id="rId10" Type="http://schemas.openxmlformats.org/officeDocument/2006/relationships/hyperlink" Target="https://www.amnesty.org/en/projects/sudan-conflict/?utm_source=chatgpt.com" TargetMode="External"/><Relationship Id="rId4" Type="http://schemas.openxmlformats.org/officeDocument/2006/relationships/numbering" Target="numbering.xml"/><Relationship Id="rId9" Type="http://schemas.openxmlformats.org/officeDocument/2006/relationships/hyperlink" Target="https://caat.org.uk/news/genocide-in-sudan-the-role-of-the-uae-and-the-complicity-of-the-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E2EF7-BD9D-406A-AF1B-1FCE0DE4A968}">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CA00473E-C1A2-4275-95DE-19BB6E8DB3F0}">
  <ds:schemaRefs>
    <ds:schemaRef ds:uri="http://schemas.microsoft.com/sharepoint/v3/contenttype/forms"/>
  </ds:schemaRefs>
</ds:datastoreItem>
</file>

<file path=customXml/itemProps3.xml><?xml version="1.0" encoding="utf-8"?>
<ds:datastoreItem xmlns:ds="http://schemas.openxmlformats.org/officeDocument/2006/customXml" ds:itemID="{A90C79A5-5350-4E58-8886-0198CFBCD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Lukmanjee (S6PI)</dc:creator>
  <cp:keywords/>
  <dc:description/>
  <cp:lastModifiedBy>Kiyah-Louise Lopez (S6SN)</cp:lastModifiedBy>
  <cp:revision>4</cp:revision>
  <dcterms:created xsi:type="dcterms:W3CDTF">2025-12-21T19:35:00Z</dcterms:created>
  <dcterms:modified xsi:type="dcterms:W3CDTF">2026-01-26T21:06:00Z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