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2E85" w14:textId="319B766C" w:rsidR="000F5B88" w:rsidRPr="002E46D5" w:rsidRDefault="000F5B88" w:rsidP="000F5B88">
      <w:pPr>
        <w:rPr>
          <w:rFonts w:ascii="Gill Sans MT" w:hAnsi="Gill Sans MT" w:cs="Calibri"/>
          <w:b/>
          <w:bCs/>
          <w:sz w:val="32"/>
          <w:szCs w:val="32"/>
        </w:rPr>
      </w:pPr>
      <w:r w:rsidRPr="002E46D5">
        <w:rPr>
          <w:rFonts w:ascii="Gill Sans MT" w:hAnsi="Gill Sans MT" w:cs="Calibri"/>
          <w:b/>
          <w:bCs/>
          <w:sz w:val="32"/>
          <w:szCs w:val="32"/>
        </w:rPr>
        <w:t>The Issue of Fostering Innovation in Global Trade and Digital Commerce</w:t>
      </w:r>
    </w:p>
    <w:p w14:paraId="565A9F46" w14:textId="77777777" w:rsidR="000F5B88" w:rsidRPr="002E46D5" w:rsidRDefault="000F5B88" w:rsidP="000F5B88">
      <w:pPr>
        <w:rPr>
          <w:rFonts w:ascii="Gill Sans MT" w:hAnsi="Gill Sans MT" w:cs="Calibri"/>
          <w:sz w:val="26"/>
          <w:szCs w:val="26"/>
        </w:rPr>
      </w:pPr>
      <w:r w:rsidRPr="002E46D5">
        <w:rPr>
          <w:rFonts w:ascii="Gill Sans MT" w:hAnsi="Gill Sans MT" w:cs="Calibri"/>
          <w:sz w:val="26"/>
          <w:szCs w:val="26"/>
        </w:rPr>
        <w:t>The rapid expansion of digital technologies and innovation-driven industries is fundamentally reshaping global trade and economic relations. Digital commerce, including e-commerce platforms, digital services, fintech, and data-driven trade, has become a major engine of economic growth and global integration. However, unequal access to technology, fragmented regulations, and digital divides threaten to widen global inequality and limit the benefits of innovation for developing economies.</w:t>
      </w:r>
    </w:p>
    <w:p w14:paraId="6D9D1D1D" w14:textId="77777777" w:rsidR="000F5B88" w:rsidRPr="002E46D5" w:rsidRDefault="000F5B88" w:rsidP="000F5B88">
      <w:pPr>
        <w:rPr>
          <w:rFonts w:ascii="Gill Sans MT" w:hAnsi="Gill Sans MT" w:cs="Calibri"/>
          <w:sz w:val="26"/>
          <w:szCs w:val="26"/>
        </w:rPr>
      </w:pPr>
      <w:r w:rsidRPr="002E46D5">
        <w:rPr>
          <w:rFonts w:ascii="Gill Sans MT" w:hAnsi="Gill Sans MT" w:cs="Calibri"/>
          <w:sz w:val="26"/>
          <w:szCs w:val="26"/>
        </w:rPr>
        <w:t>According to the World Trade Organization (WTO), digital trade now accounts for a significant share of global services trade, with digitally deliverable services growing faster than traditional trade sectors. Digitalisation reduces transaction costs, improves market access for small and medium-sized enterprises (SMEs), and enables cross-border participation without physical infrastructure. For developing countries, digital trade offers opportunities to leapfrog traditional development barriers.</w:t>
      </w:r>
    </w:p>
    <w:p w14:paraId="3F72D5D3" w14:textId="77777777" w:rsidR="000F5B88" w:rsidRPr="002E46D5" w:rsidRDefault="000F5B88" w:rsidP="000F5B88">
      <w:pPr>
        <w:rPr>
          <w:rFonts w:ascii="Gill Sans MT" w:hAnsi="Gill Sans MT" w:cs="Calibri"/>
          <w:sz w:val="26"/>
          <w:szCs w:val="26"/>
        </w:rPr>
      </w:pPr>
      <w:r w:rsidRPr="002E46D5">
        <w:rPr>
          <w:rFonts w:ascii="Gill Sans MT" w:hAnsi="Gill Sans MT" w:cs="Calibri"/>
          <w:sz w:val="26"/>
          <w:szCs w:val="26"/>
        </w:rPr>
        <w:t>Despite these benefits, innovation in global trade remains uneven. Many low-income and developing countries lack reliable digital infrastructure, access to affordable internet, digital skills, and regulatory capacity. The United Nations Conference on Trade and Development (UNCTAD) highlights that over one-third of the global population remains offline, limiting participation in digital commerce and global value chains. This digital divide risks reinforcing existing economic disparities between and within countries.</w:t>
      </w:r>
    </w:p>
    <w:p w14:paraId="3381D5E5" w14:textId="77777777" w:rsidR="000F5B88" w:rsidRPr="002E46D5" w:rsidRDefault="000F5B88" w:rsidP="000F5B88">
      <w:pPr>
        <w:rPr>
          <w:rFonts w:ascii="Gill Sans MT" w:hAnsi="Gill Sans MT" w:cs="Calibri"/>
          <w:sz w:val="26"/>
          <w:szCs w:val="26"/>
        </w:rPr>
      </w:pPr>
      <w:r w:rsidRPr="002E46D5">
        <w:rPr>
          <w:rFonts w:ascii="Gill Sans MT" w:hAnsi="Gill Sans MT" w:cs="Calibri"/>
          <w:sz w:val="26"/>
          <w:szCs w:val="26"/>
        </w:rPr>
        <w:t>Regulatory fragmentation presents another challenge. Divergent national rules on data flows, digital taxation, consumer protection, and cybersecurity create uncertainty and restrict cross-border digital trade. While some countries advocate for open data flows to support innovation, others prioritise data sovereignty and national security. Balancing innovation with privacy, security, and consumer rights remains a central policy dilemma.</w:t>
      </w:r>
    </w:p>
    <w:p w14:paraId="16F78EA8" w14:textId="77777777" w:rsidR="000F5B88" w:rsidRPr="002E46D5" w:rsidRDefault="000F5B88" w:rsidP="000F5B88">
      <w:pPr>
        <w:rPr>
          <w:rFonts w:ascii="Gill Sans MT" w:hAnsi="Gill Sans MT" w:cs="Calibri"/>
          <w:sz w:val="26"/>
          <w:szCs w:val="26"/>
        </w:rPr>
      </w:pPr>
      <w:r w:rsidRPr="002E46D5">
        <w:rPr>
          <w:rFonts w:ascii="Gill Sans MT" w:hAnsi="Gill Sans MT" w:cs="Calibri"/>
          <w:sz w:val="26"/>
          <w:szCs w:val="26"/>
        </w:rPr>
        <w:t>International initiatives such as the WTO Joint Statement Initiative on E-commerce and UNCTAD’s Digital Economy strategies aim to promote cooperation and inclusive digital development. However, progress has been slow, and many agreements remain non-binding. Without coordinated global action, innovation-driven trade risks becoming dominated by a small number of technologically advanced economies and corporations.</w:t>
      </w:r>
    </w:p>
    <w:p w14:paraId="32287C0E" w14:textId="77777777" w:rsidR="000F5B88" w:rsidRDefault="000F5B88" w:rsidP="000F5B88">
      <w:pPr>
        <w:rPr>
          <w:rFonts w:ascii="Gill Sans MT" w:hAnsi="Gill Sans MT" w:cs="Calibri"/>
          <w:sz w:val="26"/>
          <w:szCs w:val="26"/>
        </w:rPr>
      </w:pPr>
      <w:r w:rsidRPr="002E46D5">
        <w:rPr>
          <w:rFonts w:ascii="Gill Sans MT" w:hAnsi="Gill Sans MT" w:cs="Calibri"/>
          <w:sz w:val="26"/>
          <w:szCs w:val="26"/>
        </w:rPr>
        <w:t xml:space="preserve">SpecCom has an important role in addressing the systemic economic and governance challenges posed by digital transformation. Ensuring that innovation in global trade </w:t>
      </w:r>
      <w:r w:rsidRPr="002E46D5">
        <w:rPr>
          <w:rFonts w:ascii="Gill Sans MT" w:hAnsi="Gill Sans MT" w:cs="Calibri"/>
          <w:sz w:val="26"/>
          <w:szCs w:val="26"/>
        </w:rPr>
        <w:lastRenderedPageBreak/>
        <w:t>supports inclusive growth, sustainable development, and economic resilience is essential in an increasingly interconnected world.</w:t>
      </w:r>
    </w:p>
    <w:p w14:paraId="0598A72B" w14:textId="77777777" w:rsidR="002E46D5" w:rsidRPr="002E46D5" w:rsidRDefault="002E46D5" w:rsidP="000F5B88">
      <w:pPr>
        <w:rPr>
          <w:rFonts w:ascii="Gill Sans MT" w:hAnsi="Gill Sans MT" w:cs="Calibri"/>
          <w:sz w:val="26"/>
          <w:szCs w:val="26"/>
        </w:rPr>
      </w:pPr>
    </w:p>
    <w:p w14:paraId="562BE154" w14:textId="330E374A" w:rsidR="000F5B88" w:rsidRDefault="000F5B88" w:rsidP="000F5B88">
      <w:pPr>
        <w:rPr>
          <w:rFonts w:ascii="Gill Sans MT" w:hAnsi="Gill Sans MT" w:cs="Calibri"/>
          <w:sz w:val="26"/>
          <w:szCs w:val="26"/>
        </w:rPr>
      </w:pPr>
      <w:r w:rsidRPr="002E46D5">
        <w:rPr>
          <w:rFonts w:ascii="Gill Sans MT" w:hAnsi="Gill Sans MT" w:cs="Calibri"/>
          <w:b/>
          <w:bCs/>
          <w:sz w:val="26"/>
          <w:szCs w:val="26"/>
        </w:rPr>
        <w:t>Points</w:t>
      </w:r>
      <w:r w:rsidR="002E46D5" w:rsidRPr="002E46D5">
        <w:rPr>
          <w:rFonts w:ascii="Gill Sans MT" w:hAnsi="Gill Sans MT" w:cs="Calibri"/>
          <w:b/>
          <w:bCs/>
          <w:sz w:val="26"/>
          <w:szCs w:val="26"/>
        </w:rPr>
        <w:t xml:space="preserve"> to Consider</w:t>
      </w:r>
      <w:r w:rsidRPr="002E46D5">
        <w:rPr>
          <w:rFonts w:ascii="Gill Sans MT" w:hAnsi="Gill Sans MT" w:cs="Calibri"/>
          <w:b/>
          <w:bCs/>
          <w:sz w:val="26"/>
          <w:szCs w:val="26"/>
        </w:rPr>
        <w:t>:</w:t>
      </w:r>
      <w:r w:rsidRPr="002E46D5">
        <w:rPr>
          <w:rFonts w:ascii="Gill Sans MT" w:hAnsi="Gill Sans MT" w:cs="Calibri"/>
          <w:sz w:val="26"/>
          <w:szCs w:val="26"/>
          <w:u w:val="single"/>
        </w:rPr>
        <w:br/>
      </w:r>
      <w:r w:rsidRPr="002E46D5">
        <w:rPr>
          <w:rFonts w:ascii="Gill Sans MT" w:hAnsi="Gill Sans MT" w:cs="Calibri"/>
          <w:sz w:val="26"/>
          <w:szCs w:val="26"/>
        </w:rPr>
        <w:t>• How can the international community reduce the digital divide between developed and developing countries?</w:t>
      </w:r>
      <w:r w:rsidRPr="002E46D5">
        <w:rPr>
          <w:rFonts w:ascii="Gill Sans MT" w:hAnsi="Gill Sans MT" w:cs="Calibri"/>
          <w:sz w:val="26"/>
          <w:szCs w:val="26"/>
        </w:rPr>
        <w:br/>
        <w:t>• Should global rules on data flows and digital trade be standardised or remain nationally regulated?</w:t>
      </w:r>
      <w:r w:rsidRPr="002E46D5">
        <w:rPr>
          <w:rFonts w:ascii="Gill Sans MT" w:hAnsi="Gill Sans MT" w:cs="Calibri"/>
          <w:sz w:val="26"/>
          <w:szCs w:val="26"/>
        </w:rPr>
        <w:br/>
        <w:t>• How can SMEs and developing economies be better integrated into digital global markets?</w:t>
      </w:r>
      <w:r w:rsidRPr="002E46D5">
        <w:rPr>
          <w:rFonts w:ascii="Gill Sans MT" w:hAnsi="Gill Sans MT" w:cs="Calibri"/>
          <w:sz w:val="26"/>
          <w:szCs w:val="26"/>
        </w:rPr>
        <w:br/>
        <w:t>• What role should the UN and WTO play in governing digital commerce?</w:t>
      </w:r>
      <w:r w:rsidRPr="002E46D5">
        <w:rPr>
          <w:rFonts w:ascii="Gill Sans MT" w:hAnsi="Gill Sans MT" w:cs="Calibri"/>
          <w:sz w:val="26"/>
          <w:szCs w:val="26"/>
        </w:rPr>
        <w:br/>
        <w:t>• How can innovation be promoted while safeguarding data protection and consumer rights?</w:t>
      </w:r>
    </w:p>
    <w:p w14:paraId="1C1FA253" w14:textId="77777777" w:rsidR="002E46D5" w:rsidRPr="002E46D5" w:rsidRDefault="002E46D5" w:rsidP="000F5B88">
      <w:pPr>
        <w:rPr>
          <w:rFonts w:ascii="Gill Sans MT" w:hAnsi="Gill Sans MT" w:cs="Calibri"/>
          <w:sz w:val="26"/>
          <w:szCs w:val="26"/>
        </w:rPr>
      </w:pPr>
    </w:p>
    <w:p w14:paraId="6FAEA7B1" w14:textId="7D9527E3" w:rsidR="00E41C44" w:rsidRPr="002E46D5" w:rsidRDefault="000F5B88" w:rsidP="00E41C44">
      <w:pPr>
        <w:rPr>
          <w:rFonts w:ascii="Gill Sans MT" w:hAnsi="Gill Sans MT" w:cs="Calibri"/>
          <w:sz w:val="26"/>
          <w:szCs w:val="26"/>
        </w:rPr>
      </w:pPr>
      <w:r w:rsidRPr="002E46D5">
        <w:rPr>
          <w:rFonts w:ascii="Gill Sans MT" w:hAnsi="Gill Sans MT" w:cs="Calibri"/>
          <w:b/>
          <w:bCs/>
          <w:sz w:val="26"/>
          <w:szCs w:val="26"/>
        </w:rPr>
        <w:t xml:space="preserve">Relevant </w:t>
      </w:r>
      <w:r w:rsidR="002E46D5">
        <w:rPr>
          <w:rFonts w:ascii="Gill Sans MT" w:hAnsi="Gill Sans MT" w:cs="Calibri"/>
          <w:b/>
          <w:bCs/>
          <w:sz w:val="26"/>
          <w:szCs w:val="26"/>
        </w:rPr>
        <w:t>R</w:t>
      </w:r>
      <w:r w:rsidRPr="002E46D5">
        <w:rPr>
          <w:rFonts w:ascii="Gill Sans MT" w:hAnsi="Gill Sans MT" w:cs="Calibri"/>
          <w:b/>
          <w:bCs/>
          <w:sz w:val="26"/>
          <w:szCs w:val="26"/>
        </w:rPr>
        <w:t>esources:</w:t>
      </w:r>
      <w:r w:rsidRPr="002E46D5">
        <w:rPr>
          <w:rFonts w:ascii="Gill Sans MT" w:hAnsi="Gill Sans MT" w:cs="Calibri"/>
          <w:sz w:val="26"/>
          <w:szCs w:val="26"/>
        </w:rPr>
        <w:br/>
        <w:t>•</w:t>
      </w:r>
      <w:r w:rsidR="00E41C44" w:rsidRPr="002E46D5">
        <w:rPr>
          <w:rFonts w:ascii="Gill Sans MT" w:hAnsi="Gill Sans MT" w:cs="Calibri"/>
          <w:sz w:val="26"/>
          <w:szCs w:val="26"/>
        </w:rPr>
        <w:t xml:space="preserve"> WTO – </w:t>
      </w:r>
      <w:r w:rsidR="00E41C44" w:rsidRPr="002E46D5">
        <w:rPr>
          <w:rFonts w:ascii="Gill Sans MT" w:hAnsi="Gill Sans MT" w:cs="Calibri"/>
          <w:i/>
          <w:iCs/>
          <w:sz w:val="26"/>
          <w:szCs w:val="26"/>
        </w:rPr>
        <w:t>Electronic Commerce / Digital Trade overview:</w:t>
      </w:r>
      <w:r w:rsidR="00E41C44" w:rsidRPr="002E46D5">
        <w:rPr>
          <w:rFonts w:ascii="Gill Sans MT" w:hAnsi="Gill Sans MT" w:cs="Calibri"/>
          <w:sz w:val="26"/>
          <w:szCs w:val="26"/>
        </w:rPr>
        <w:br/>
      </w:r>
      <w:hyperlink r:id="rId8" w:tgtFrame="_new" w:history="1">
        <w:r w:rsidR="00E41C44" w:rsidRPr="002E46D5">
          <w:rPr>
            <w:rStyle w:val="Hyperlink"/>
            <w:rFonts w:ascii="Gill Sans MT" w:hAnsi="Gill Sans MT" w:cs="Calibri"/>
            <w:sz w:val="26"/>
            <w:szCs w:val="26"/>
          </w:rPr>
          <w:t>https://www.wto.org/english/tratop_e/ecom_e/ecom_e.htm</w:t>
        </w:r>
      </w:hyperlink>
      <w:r w:rsidR="00E41C44" w:rsidRPr="002E46D5">
        <w:rPr>
          <w:rFonts w:ascii="Gill Sans MT" w:hAnsi="Gill Sans MT" w:cs="Calibri"/>
          <w:sz w:val="26"/>
          <w:szCs w:val="26"/>
        </w:rPr>
        <w:t xml:space="preserve"> </w:t>
      </w:r>
      <w:r w:rsidRPr="002E46D5">
        <w:rPr>
          <w:rFonts w:ascii="Gill Sans MT" w:hAnsi="Gill Sans MT" w:cs="Calibri"/>
          <w:sz w:val="26"/>
          <w:szCs w:val="26"/>
        </w:rPr>
        <w:br/>
        <w:t>•</w:t>
      </w:r>
      <w:r w:rsidR="00E41C44" w:rsidRPr="002E46D5">
        <w:rPr>
          <w:rFonts w:ascii="Gill Sans MT" w:hAnsi="Gill Sans MT" w:cs="Calibri"/>
          <w:sz w:val="26"/>
          <w:szCs w:val="26"/>
        </w:rPr>
        <w:t xml:space="preserve"> WTO – </w:t>
      </w:r>
      <w:r w:rsidR="00E41C44" w:rsidRPr="002E46D5">
        <w:rPr>
          <w:rFonts w:ascii="Gill Sans MT" w:hAnsi="Gill Sans MT" w:cs="Calibri"/>
          <w:i/>
          <w:iCs/>
          <w:sz w:val="26"/>
          <w:szCs w:val="26"/>
        </w:rPr>
        <w:t>Joint Statement Initiative on Electronic Commerce:</w:t>
      </w:r>
      <w:r w:rsidR="00E41C44" w:rsidRPr="002E46D5">
        <w:rPr>
          <w:rFonts w:ascii="Gill Sans MT" w:hAnsi="Gill Sans MT" w:cs="Calibri"/>
          <w:sz w:val="26"/>
          <w:szCs w:val="26"/>
        </w:rPr>
        <w:br/>
      </w:r>
      <w:hyperlink r:id="rId9" w:tgtFrame="_new" w:history="1">
        <w:r w:rsidR="00E41C44" w:rsidRPr="002E46D5">
          <w:rPr>
            <w:rStyle w:val="Hyperlink"/>
            <w:rFonts w:ascii="Gill Sans MT" w:hAnsi="Gill Sans MT" w:cs="Calibri"/>
            <w:sz w:val="26"/>
            <w:szCs w:val="26"/>
          </w:rPr>
          <w:t>https://www.wto.org/english/tratop_e/ecom_e/joint_statement_e.htm</w:t>
        </w:r>
      </w:hyperlink>
      <w:r w:rsidR="00E41C44" w:rsidRPr="002E46D5">
        <w:rPr>
          <w:rFonts w:ascii="Gill Sans MT" w:hAnsi="Gill Sans MT" w:cs="Calibri"/>
          <w:sz w:val="26"/>
          <w:szCs w:val="26"/>
        </w:rPr>
        <w:t xml:space="preserve"> </w:t>
      </w:r>
    </w:p>
    <w:p w14:paraId="6C702EDA" w14:textId="18F7C277" w:rsidR="000F5B88" w:rsidRPr="002E46D5" w:rsidRDefault="000F5B88" w:rsidP="000F5B88">
      <w:pPr>
        <w:rPr>
          <w:rFonts w:ascii="Gill Sans MT" w:hAnsi="Gill Sans MT" w:cs="Calibri"/>
          <w:i/>
          <w:iCs/>
          <w:sz w:val="26"/>
          <w:szCs w:val="26"/>
        </w:rPr>
      </w:pPr>
      <w:r w:rsidRPr="002E46D5">
        <w:rPr>
          <w:rFonts w:ascii="Gill Sans MT" w:hAnsi="Gill Sans MT" w:cs="Calibri"/>
          <w:sz w:val="26"/>
          <w:szCs w:val="26"/>
        </w:rPr>
        <w:t>•</w:t>
      </w:r>
      <w:r w:rsidR="00E41C44" w:rsidRPr="002E46D5">
        <w:rPr>
          <w:rFonts w:ascii="Gill Sans MT" w:hAnsi="Gill Sans MT" w:cs="Calibri"/>
          <w:sz w:val="26"/>
          <w:szCs w:val="26"/>
        </w:rPr>
        <w:t xml:space="preserve"> WTO – </w:t>
      </w:r>
      <w:r w:rsidR="00E41C44" w:rsidRPr="002E46D5">
        <w:rPr>
          <w:rFonts w:ascii="Gill Sans MT" w:hAnsi="Gill Sans MT" w:cs="Calibri"/>
          <w:i/>
          <w:iCs/>
          <w:sz w:val="26"/>
          <w:szCs w:val="26"/>
        </w:rPr>
        <w:t>Digital technologies &amp; trade info &amp; publications:</w:t>
      </w:r>
      <w:r w:rsidR="00E41C44" w:rsidRPr="002E46D5">
        <w:rPr>
          <w:rFonts w:ascii="Gill Sans MT" w:hAnsi="Gill Sans MT" w:cs="Calibri"/>
          <w:sz w:val="26"/>
          <w:szCs w:val="26"/>
        </w:rPr>
        <w:br/>
      </w:r>
      <w:hyperlink r:id="rId10" w:tgtFrame="_new" w:history="1">
        <w:r w:rsidR="00E41C44" w:rsidRPr="002E46D5">
          <w:rPr>
            <w:rStyle w:val="Hyperlink"/>
            <w:rFonts w:ascii="Gill Sans MT" w:hAnsi="Gill Sans MT" w:cs="Calibri"/>
            <w:sz w:val="26"/>
            <w:szCs w:val="26"/>
          </w:rPr>
          <w:t>https://www.wto.org/english/tratop_e/dtt_e/dtt_e.htm</w:t>
        </w:r>
      </w:hyperlink>
      <w:r w:rsidR="00E41C44" w:rsidRPr="002E46D5">
        <w:rPr>
          <w:rFonts w:ascii="Gill Sans MT" w:hAnsi="Gill Sans MT" w:cs="Calibri"/>
          <w:sz w:val="26"/>
          <w:szCs w:val="26"/>
        </w:rPr>
        <w:t xml:space="preserve"> </w:t>
      </w:r>
    </w:p>
    <w:p w14:paraId="38313A74" w14:textId="77777777" w:rsidR="00E41C44" w:rsidRPr="002E46D5" w:rsidRDefault="00E41C44" w:rsidP="000F5B88">
      <w:pPr>
        <w:rPr>
          <w:rFonts w:ascii="Gill Sans MT" w:hAnsi="Gill Sans MT" w:cs="Calibri"/>
          <w:sz w:val="26"/>
          <w:szCs w:val="26"/>
        </w:rPr>
      </w:pPr>
      <w:r w:rsidRPr="002E46D5">
        <w:rPr>
          <w:rFonts w:ascii="Gill Sans MT" w:hAnsi="Gill Sans MT" w:cs="Calibri"/>
          <w:sz w:val="26"/>
          <w:szCs w:val="26"/>
        </w:rPr>
        <w:t xml:space="preserve">• UNCTAD – </w:t>
      </w:r>
      <w:r w:rsidRPr="002E46D5">
        <w:rPr>
          <w:rFonts w:ascii="Gill Sans MT" w:hAnsi="Gill Sans MT" w:cs="Calibri"/>
          <w:i/>
          <w:iCs/>
          <w:sz w:val="26"/>
          <w:szCs w:val="26"/>
        </w:rPr>
        <w:t>E-commerce and the Digital Economy:</w:t>
      </w:r>
      <w:r w:rsidRPr="002E46D5">
        <w:rPr>
          <w:rFonts w:ascii="Gill Sans MT" w:hAnsi="Gill Sans MT" w:cs="Calibri"/>
          <w:sz w:val="26"/>
          <w:szCs w:val="26"/>
        </w:rPr>
        <w:br/>
      </w:r>
      <w:hyperlink r:id="rId11" w:tgtFrame="_new" w:history="1">
        <w:r w:rsidRPr="002E46D5">
          <w:rPr>
            <w:rStyle w:val="Hyperlink"/>
            <w:rFonts w:ascii="Gill Sans MT" w:hAnsi="Gill Sans MT" w:cs="Calibri"/>
            <w:sz w:val="26"/>
            <w:szCs w:val="26"/>
          </w:rPr>
          <w:t>https://unctad.org/topic/ecommerce-and-digital-economy</w:t>
        </w:r>
      </w:hyperlink>
      <w:r w:rsidRPr="002E46D5">
        <w:rPr>
          <w:rFonts w:ascii="Gill Sans MT" w:hAnsi="Gill Sans MT" w:cs="Calibri"/>
          <w:sz w:val="26"/>
          <w:szCs w:val="26"/>
        </w:rPr>
        <w:t xml:space="preserve"> </w:t>
      </w:r>
    </w:p>
    <w:p w14:paraId="76698AE5" w14:textId="539C425D" w:rsidR="00E41C44" w:rsidRPr="002E46D5" w:rsidRDefault="00E41C44" w:rsidP="00E41C44">
      <w:pPr>
        <w:rPr>
          <w:rFonts w:ascii="Gill Sans MT" w:hAnsi="Gill Sans MT" w:cs="Calibri"/>
          <w:sz w:val="26"/>
          <w:szCs w:val="26"/>
        </w:rPr>
      </w:pPr>
      <w:r w:rsidRPr="002E46D5">
        <w:rPr>
          <w:rFonts w:ascii="Gill Sans MT" w:hAnsi="Gill Sans MT" w:cs="Calibri"/>
          <w:sz w:val="26"/>
          <w:szCs w:val="26"/>
        </w:rPr>
        <w:t xml:space="preserve">• UNCTAD – </w:t>
      </w:r>
      <w:r w:rsidRPr="002E46D5">
        <w:rPr>
          <w:rFonts w:ascii="Gill Sans MT" w:hAnsi="Gill Sans MT" w:cs="Calibri"/>
          <w:i/>
          <w:iCs/>
          <w:sz w:val="26"/>
          <w:szCs w:val="26"/>
        </w:rPr>
        <w:t>Digital Trade for Development</w:t>
      </w:r>
      <w:r w:rsidRPr="002E46D5">
        <w:rPr>
          <w:rFonts w:ascii="Gill Sans MT" w:hAnsi="Gill Sans MT" w:cs="Calibri"/>
          <w:sz w:val="26"/>
          <w:szCs w:val="26"/>
        </w:rPr>
        <w:t xml:space="preserve"> (joint IMF/OECD/WTO/World Bank report):</w:t>
      </w:r>
      <w:r w:rsidRPr="002E46D5">
        <w:rPr>
          <w:rFonts w:ascii="Gill Sans MT" w:hAnsi="Gill Sans MT" w:cs="Calibri"/>
          <w:sz w:val="26"/>
          <w:szCs w:val="26"/>
        </w:rPr>
        <w:br/>
      </w:r>
      <w:hyperlink r:id="rId12" w:tgtFrame="_new" w:history="1">
        <w:r w:rsidRPr="002E46D5">
          <w:rPr>
            <w:rStyle w:val="Hyperlink"/>
            <w:rFonts w:ascii="Gill Sans MT" w:hAnsi="Gill Sans MT" w:cs="Calibri"/>
            <w:sz w:val="26"/>
            <w:szCs w:val="26"/>
          </w:rPr>
          <w:t>https://unctad.org/publication/digital-trade-development</w:t>
        </w:r>
      </w:hyperlink>
      <w:r w:rsidRPr="002E46D5">
        <w:rPr>
          <w:rFonts w:ascii="Gill Sans MT" w:hAnsi="Gill Sans MT" w:cs="Calibri"/>
          <w:sz w:val="26"/>
          <w:szCs w:val="26"/>
        </w:rPr>
        <w:t xml:space="preserve"> </w:t>
      </w:r>
    </w:p>
    <w:p w14:paraId="2C8BBF35" w14:textId="4A0274D1" w:rsidR="00E41C44" w:rsidRPr="002E46D5" w:rsidRDefault="00E41C44" w:rsidP="000F5B88">
      <w:pPr>
        <w:rPr>
          <w:rFonts w:ascii="Gill Sans MT" w:hAnsi="Gill Sans MT" w:cs="Calibri"/>
          <w:sz w:val="26"/>
          <w:szCs w:val="26"/>
        </w:rPr>
      </w:pPr>
    </w:p>
    <w:p w14:paraId="55E4089A" w14:textId="153198DC" w:rsidR="000F5B88" w:rsidRPr="002E46D5" w:rsidRDefault="000F5B88" w:rsidP="000F5B88">
      <w:pPr>
        <w:rPr>
          <w:rFonts w:ascii="Gill Sans MT" w:hAnsi="Gill Sans MT" w:cs="Calibri"/>
          <w:sz w:val="26"/>
          <w:szCs w:val="26"/>
        </w:rPr>
      </w:pPr>
    </w:p>
    <w:p w14:paraId="282AD99C" w14:textId="66E59F83" w:rsidR="000F5B88" w:rsidRPr="002E46D5" w:rsidRDefault="000F5B88" w:rsidP="000F5B88">
      <w:pPr>
        <w:rPr>
          <w:rFonts w:ascii="Gill Sans MT" w:hAnsi="Gill Sans MT" w:cs="Calibri"/>
          <w:sz w:val="26"/>
          <w:szCs w:val="26"/>
        </w:rPr>
      </w:pPr>
    </w:p>
    <w:sectPr w:rsidR="000F5B88" w:rsidRPr="002E4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183D"/>
    <w:multiLevelType w:val="hybridMultilevel"/>
    <w:tmpl w:val="3B9A111E"/>
    <w:lvl w:ilvl="0" w:tplc="FCF4E0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72537"/>
    <w:multiLevelType w:val="hybridMultilevel"/>
    <w:tmpl w:val="48B24F68"/>
    <w:lvl w:ilvl="0" w:tplc="FCF4E0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141615">
    <w:abstractNumId w:val="1"/>
  </w:num>
  <w:num w:numId="2" w16cid:durableId="995450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88"/>
    <w:rsid w:val="000D67B2"/>
    <w:rsid w:val="000F5B88"/>
    <w:rsid w:val="00111867"/>
    <w:rsid w:val="00123DF0"/>
    <w:rsid w:val="002E46D5"/>
    <w:rsid w:val="003D224E"/>
    <w:rsid w:val="00496834"/>
    <w:rsid w:val="00987FCD"/>
    <w:rsid w:val="009D15BD"/>
    <w:rsid w:val="00E41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7010"/>
  <w15:chartTrackingRefBased/>
  <w15:docId w15:val="{F45072FE-E984-4A10-B5AE-DB483EEF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B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B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B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B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B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B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B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B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B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B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B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B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B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B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B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B88"/>
    <w:rPr>
      <w:rFonts w:eastAsiaTheme="majorEastAsia" w:cstheme="majorBidi"/>
      <w:color w:val="272727" w:themeColor="text1" w:themeTint="D8"/>
    </w:rPr>
  </w:style>
  <w:style w:type="paragraph" w:styleId="Title">
    <w:name w:val="Title"/>
    <w:basedOn w:val="Normal"/>
    <w:next w:val="Normal"/>
    <w:link w:val="TitleChar"/>
    <w:uiPriority w:val="10"/>
    <w:qFormat/>
    <w:rsid w:val="000F5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B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B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B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B88"/>
    <w:pPr>
      <w:spacing w:before="160"/>
      <w:jc w:val="center"/>
    </w:pPr>
    <w:rPr>
      <w:i/>
      <w:iCs/>
      <w:color w:val="404040" w:themeColor="text1" w:themeTint="BF"/>
    </w:rPr>
  </w:style>
  <w:style w:type="character" w:customStyle="1" w:styleId="QuoteChar">
    <w:name w:val="Quote Char"/>
    <w:basedOn w:val="DefaultParagraphFont"/>
    <w:link w:val="Quote"/>
    <w:uiPriority w:val="29"/>
    <w:rsid w:val="000F5B88"/>
    <w:rPr>
      <w:i/>
      <w:iCs/>
      <w:color w:val="404040" w:themeColor="text1" w:themeTint="BF"/>
    </w:rPr>
  </w:style>
  <w:style w:type="paragraph" w:styleId="ListParagraph">
    <w:name w:val="List Paragraph"/>
    <w:basedOn w:val="Normal"/>
    <w:uiPriority w:val="34"/>
    <w:qFormat/>
    <w:rsid w:val="000F5B88"/>
    <w:pPr>
      <w:ind w:left="720"/>
      <w:contextualSpacing/>
    </w:pPr>
  </w:style>
  <w:style w:type="character" w:styleId="IntenseEmphasis">
    <w:name w:val="Intense Emphasis"/>
    <w:basedOn w:val="DefaultParagraphFont"/>
    <w:uiPriority w:val="21"/>
    <w:qFormat/>
    <w:rsid w:val="000F5B88"/>
    <w:rPr>
      <w:i/>
      <w:iCs/>
      <w:color w:val="0F4761" w:themeColor="accent1" w:themeShade="BF"/>
    </w:rPr>
  </w:style>
  <w:style w:type="paragraph" w:styleId="IntenseQuote">
    <w:name w:val="Intense Quote"/>
    <w:basedOn w:val="Normal"/>
    <w:next w:val="Normal"/>
    <w:link w:val="IntenseQuoteChar"/>
    <w:uiPriority w:val="30"/>
    <w:qFormat/>
    <w:rsid w:val="000F5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B88"/>
    <w:rPr>
      <w:i/>
      <w:iCs/>
      <w:color w:val="0F4761" w:themeColor="accent1" w:themeShade="BF"/>
    </w:rPr>
  </w:style>
  <w:style w:type="character" w:styleId="IntenseReference">
    <w:name w:val="Intense Reference"/>
    <w:basedOn w:val="DefaultParagraphFont"/>
    <w:uiPriority w:val="32"/>
    <w:qFormat/>
    <w:rsid w:val="000F5B88"/>
    <w:rPr>
      <w:b/>
      <w:bCs/>
      <w:smallCaps/>
      <w:color w:val="0F4761" w:themeColor="accent1" w:themeShade="BF"/>
      <w:spacing w:val="5"/>
    </w:rPr>
  </w:style>
  <w:style w:type="character" w:styleId="Hyperlink">
    <w:name w:val="Hyperlink"/>
    <w:basedOn w:val="DefaultParagraphFont"/>
    <w:uiPriority w:val="99"/>
    <w:unhideWhenUsed/>
    <w:rsid w:val="00E41C44"/>
    <w:rPr>
      <w:color w:val="467886" w:themeColor="hyperlink"/>
      <w:u w:val="single"/>
    </w:rPr>
  </w:style>
  <w:style w:type="character" w:styleId="UnresolvedMention">
    <w:name w:val="Unresolved Mention"/>
    <w:basedOn w:val="DefaultParagraphFont"/>
    <w:uiPriority w:val="99"/>
    <w:semiHidden/>
    <w:unhideWhenUsed/>
    <w:rsid w:val="00E41C44"/>
    <w:rPr>
      <w:color w:val="605E5C"/>
      <w:shd w:val="clear" w:color="auto" w:fill="E1DFDD"/>
    </w:rPr>
  </w:style>
  <w:style w:type="character" w:styleId="FollowedHyperlink">
    <w:name w:val="FollowedHyperlink"/>
    <w:basedOn w:val="DefaultParagraphFont"/>
    <w:uiPriority w:val="99"/>
    <w:semiHidden/>
    <w:unhideWhenUsed/>
    <w:rsid w:val="00E41C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tratop_e/ecom_e/ecom_e.htm?utm_source=chatgpt.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ctad.org/publication/digital-trade-development?utm_source=chatgp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ctad.org/topic/ecommerce-and-digital-economy?utm_source=chatgpt.com" TargetMode="External"/><Relationship Id="rId5" Type="http://schemas.openxmlformats.org/officeDocument/2006/relationships/styles" Target="styles.xml"/><Relationship Id="rId10" Type="http://schemas.openxmlformats.org/officeDocument/2006/relationships/hyperlink" Target="https://www.wto.org/english/tratop_e/dtt_e/dtt_e.htm?utm_source=chatgpt.com" TargetMode="External"/><Relationship Id="rId4" Type="http://schemas.openxmlformats.org/officeDocument/2006/relationships/numbering" Target="numbering.xml"/><Relationship Id="rId9" Type="http://schemas.openxmlformats.org/officeDocument/2006/relationships/hyperlink" Target="https://www.wto.org/english/tratop_e/ecom_e/joint_statement_e.htm?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A13A98-75FA-48F8-BB9F-E7C41016D4EA}">
  <ds:schemaRefs>
    <ds:schemaRef ds:uri="http://schemas.microsoft.com/sharepoint/v3/contenttype/forms"/>
  </ds:schemaRefs>
</ds:datastoreItem>
</file>

<file path=customXml/itemProps2.xml><?xml version="1.0" encoding="utf-8"?>
<ds:datastoreItem xmlns:ds="http://schemas.openxmlformats.org/officeDocument/2006/customXml" ds:itemID="{95A6F488-4526-4888-927B-54C4A1B24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55E39-E6E4-4F40-A7CC-44E2F92C60FA}">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Younas (J6JW)</dc:creator>
  <cp:keywords/>
  <dc:description/>
  <cp:lastModifiedBy>Kiyah-Louise Lopez (S6SN)</cp:lastModifiedBy>
  <cp:revision>2</cp:revision>
  <dcterms:created xsi:type="dcterms:W3CDTF">2025-12-21T20:19:00Z</dcterms:created>
  <dcterms:modified xsi:type="dcterms:W3CDTF">2026-01-26T21:36:00Z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