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979E" w14:textId="77777777" w:rsidR="00B80DC7" w:rsidRPr="007D53C6" w:rsidRDefault="00B80DC7" w:rsidP="00B80DC7">
      <w:pPr>
        <w:rPr>
          <w:rFonts w:ascii="Gill Sans MT" w:hAnsi="Gill Sans MT"/>
          <w:b/>
          <w:bCs/>
          <w:sz w:val="32"/>
          <w:szCs w:val="32"/>
        </w:rPr>
      </w:pPr>
      <w:r w:rsidRPr="007D53C6">
        <w:rPr>
          <w:rFonts w:ascii="Gill Sans MT" w:hAnsi="Gill Sans MT"/>
          <w:b/>
          <w:bCs/>
          <w:sz w:val="32"/>
          <w:szCs w:val="32"/>
        </w:rPr>
        <w:t>The Issue of Safeguarding the Rights of Senior Citizens in Ageing Societies</w:t>
      </w:r>
    </w:p>
    <w:p w14:paraId="52886469" w14:textId="77777777" w:rsidR="00B80DC7" w:rsidRPr="00B938BB" w:rsidRDefault="00B80DC7" w:rsidP="00B80DC7">
      <w:pPr>
        <w:rPr>
          <w:rFonts w:ascii="Gill Sans MT" w:hAnsi="Gill Sans MT"/>
          <w:sz w:val="26"/>
          <w:szCs w:val="26"/>
        </w:rPr>
      </w:pPr>
    </w:p>
    <w:p w14:paraId="5580EC15" w14:textId="77777777" w:rsidR="00B80DC7" w:rsidRPr="00B938BB" w:rsidRDefault="00B80DC7" w:rsidP="00B80DC7">
      <w:pPr>
        <w:rPr>
          <w:rFonts w:ascii="Gill Sans MT" w:hAnsi="Gill Sans MT"/>
          <w:sz w:val="26"/>
          <w:szCs w:val="26"/>
        </w:rPr>
      </w:pPr>
      <w:r w:rsidRPr="00B938BB">
        <w:rPr>
          <w:rFonts w:ascii="Gill Sans MT" w:hAnsi="Gill Sans MT"/>
          <w:sz w:val="26"/>
          <w:szCs w:val="26"/>
        </w:rPr>
        <w:t>Accelerating population ageing is one of the most significant demographic transformations of the 21st century. As life expectancy increases and fertility rates decline, the proportion of senior citizens is growing across both developed and developing nations and by 2050, individuals aged 60 and above are expected to make up over 20% of the global population. While longer life expectancy reflects advances in healthcare and living standards, it also brings complex challenges related to social protection, healthcare systems and economic productivity.</w:t>
      </w:r>
    </w:p>
    <w:p w14:paraId="4DEDB699" w14:textId="61FB5B64" w:rsidR="00B80DC7" w:rsidRPr="00B938BB" w:rsidRDefault="00B80DC7" w:rsidP="00B80DC7">
      <w:pPr>
        <w:rPr>
          <w:rFonts w:ascii="Gill Sans MT" w:hAnsi="Gill Sans MT"/>
          <w:sz w:val="26"/>
          <w:szCs w:val="26"/>
        </w:rPr>
      </w:pPr>
      <w:r w:rsidRPr="00B938BB">
        <w:rPr>
          <w:rFonts w:ascii="Gill Sans MT" w:hAnsi="Gill Sans MT"/>
          <w:sz w:val="26"/>
          <w:szCs w:val="26"/>
        </w:rPr>
        <w:t xml:space="preserve">Issues faced by senior citizens can be both structural and cultural. In many societies, existing legal and institutional frameworks are ill-equipped to address the unique vulnerabilities of ageing populations, particularly in context of healthcare and economic insecurity. Many older </w:t>
      </w:r>
      <w:r w:rsidR="00BB0591" w:rsidRPr="00B938BB">
        <w:rPr>
          <w:rFonts w:ascii="Gill Sans MT" w:hAnsi="Gill Sans MT"/>
          <w:sz w:val="26"/>
          <w:szCs w:val="26"/>
        </w:rPr>
        <w:t>people</w:t>
      </w:r>
      <w:r w:rsidRPr="00B938BB">
        <w:rPr>
          <w:rFonts w:ascii="Gill Sans MT" w:hAnsi="Gill Sans MT"/>
          <w:sz w:val="26"/>
          <w:szCs w:val="26"/>
        </w:rPr>
        <w:t xml:space="preserve"> lack access to adequate pensions, particularly in low- and middle-income countries while rising healthcare costs further strain both individuals and public systems. </w:t>
      </w:r>
    </w:p>
    <w:p w14:paraId="3382E4AC" w14:textId="77777777" w:rsidR="00B80DC7" w:rsidRPr="00B938BB" w:rsidRDefault="00B80DC7" w:rsidP="00B80DC7">
      <w:pPr>
        <w:rPr>
          <w:rFonts w:ascii="Gill Sans MT" w:hAnsi="Gill Sans MT"/>
          <w:sz w:val="26"/>
          <w:szCs w:val="26"/>
        </w:rPr>
      </w:pPr>
      <w:r w:rsidRPr="00B938BB">
        <w:rPr>
          <w:rFonts w:ascii="Gill Sans MT" w:hAnsi="Gill Sans MT"/>
          <w:sz w:val="26"/>
          <w:szCs w:val="26"/>
        </w:rPr>
        <w:t>Many also face age-based discrimination which can result in social exclusion and prevent recognition of elder abuse. In humanitarian emergencies and conflict situations, senior citizens are also disproportionately affected and often overlooked in relief and recovery efforts.</w:t>
      </w:r>
    </w:p>
    <w:p w14:paraId="3F8B7333" w14:textId="77777777" w:rsidR="00B80DC7" w:rsidRPr="00B938BB" w:rsidRDefault="00B80DC7" w:rsidP="00B80DC7">
      <w:pPr>
        <w:rPr>
          <w:rFonts w:ascii="Gill Sans MT" w:hAnsi="Gill Sans MT"/>
          <w:sz w:val="26"/>
          <w:szCs w:val="26"/>
        </w:rPr>
      </w:pPr>
    </w:p>
    <w:p w14:paraId="63CF47C3" w14:textId="77777777" w:rsidR="00B80DC7" w:rsidRPr="00B938BB" w:rsidRDefault="00B80DC7" w:rsidP="00B80DC7">
      <w:pPr>
        <w:rPr>
          <w:rFonts w:ascii="Gill Sans MT" w:hAnsi="Gill Sans MT"/>
          <w:sz w:val="26"/>
          <w:szCs w:val="26"/>
        </w:rPr>
      </w:pPr>
      <w:r w:rsidRPr="00B938BB">
        <w:rPr>
          <w:rFonts w:ascii="Gill Sans MT" w:hAnsi="Gill Sans MT"/>
          <w:sz w:val="26"/>
          <w:szCs w:val="26"/>
        </w:rPr>
        <w:t>Japan is particularly affected by rapid population ageing and currently faces rising healthcare costs and labour shortages. While initiatives such as raising the retirement age and promoting elderly employment exist, many older citizens still struggle with isolation, which is highlighted by the phenomenon of kodokushi (lonely deaths) where an increasing number of individuals die alone at home and go undiscovered for weeks.</w:t>
      </w:r>
    </w:p>
    <w:p w14:paraId="2200F4AF" w14:textId="77777777" w:rsidR="00B80DC7" w:rsidRPr="00B938BB" w:rsidRDefault="00B80DC7" w:rsidP="00B80DC7">
      <w:pPr>
        <w:rPr>
          <w:rFonts w:ascii="Gill Sans MT" w:hAnsi="Gill Sans MT"/>
          <w:sz w:val="26"/>
          <w:szCs w:val="26"/>
        </w:rPr>
      </w:pPr>
      <w:r w:rsidRPr="00B938BB">
        <w:rPr>
          <w:rFonts w:ascii="Gill Sans MT" w:hAnsi="Gill Sans MT"/>
          <w:sz w:val="26"/>
          <w:szCs w:val="26"/>
        </w:rPr>
        <w:t xml:space="preserve">In India, over 70% of senior citizens rely on family support instead of pensions, leaving families vulnerable to poverty, especially in rural areas. This is partially due to the high number of workers in the informal sector who fall into government policy gaps. </w:t>
      </w:r>
    </w:p>
    <w:p w14:paraId="19B7A62F" w14:textId="77777777" w:rsidR="00B80DC7" w:rsidRPr="00B938BB" w:rsidRDefault="00B80DC7" w:rsidP="00B80DC7">
      <w:pPr>
        <w:rPr>
          <w:rFonts w:ascii="Gill Sans MT" w:hAnsi="Gill Sans MT"/>
          <w:sz w:val="26"/>
          <w:szCs w:val="26"/>
        </w:rPr>
      </w:pPr>
      <w:r w:rsidRPr="00B938BB">
        <w:rPr>
          <w:rFonts w:ascii="Gill Sans MT" w:hAnsi="Gill Sans MT"/>
          <w:sz w:val="26"/>
          <w:szCs w:val="26"/>
        </w:rPr>
        <w:t xml:space="preserve">The COVID-19 pandemic further exposed weaknesses in elder care systems globally, with disproportionately high mortality rates among older persons in countries such as Italy and Spain, where long-term care facilities were overwhelmed. </w:t>
      </w:r>
    </w:p>
    <w:p w14:paraId="356F0CED" w14:textId="77777777" w:rsidR="00B80DC7" w:rsidRPr="00B938BB" w:rsidRDefault="00B80DC7" w:rsidP="00B80DC7">
      <w:pPr>
        <w:rPr>
          <w:rFonts w:ascii="Gill Sans MT" w:hAnsi="Gill Sans MT"/>
          <w:sz w:val="26"/>
          <w:szCs w:val="26"/>
        </w:rPr>
      </w:pPr>
      <w:r w:rsidRPr="00B938BB">
        <w:rPr>
          <w:rFonts w:ascii="Gill Sans MT" w:hAnsi="Gill Sans MT"/>
          <w:sz w:val="26"/>
          <w:szCs w:val="26"/>
        </w:rPr>
        <w:t>Humanitarian emergencies also reveal ingrained inequalities. During the Syrian refugee crisis, mobility limitations and lack of targeted assistance meant elderly refugees faced significant barriers accessing healthcare and aid, in many cases leading to fatality.</w:t>
      </w:r>
    </w:p>
    <w:p w14:paraId="004FAE41" w14:textId="77777777" w:rsidR="00B80DC7" w:rsidRPr="00B938BB" w:rsidRDefault="00B80DC7" w:rsidP="00B80DC7">
      <w:pPr>
        <w:rPr>
          <w:rFonts w:ascii="Gill Sans MT" w:hAnsi="Gill Sans MT"/>
          <w:sz w:val="26"/>
          <w:szCs w:val="26"/>
        </w:rPr>
      </w:pPr>
    </w:p>
    <w:p w14:paraId="0BDC920A" w14:textId="77777777" w:rsidR="00B80DC7" w:rsidRPr="00B938BB" w:rsidRDefault="00B80DC7" w:rsidP="00B80DC7">
      <w:pPr>
        <w:rPr>
          <w:rFonts w:ascii="Gill Sans MT" w:hAnsi="Gill Sans MT"/>
          <w:sz w:val="26"/>
          <w:szCs w:val="26"/>
        </w:rPr>
      </w:pPr>
    </w:p>
    <w:p w14:paraId="27DB335F" w14:textId="1D786E6B" w:rsidR="00B80DC7" w:rsidRPr="00B938BB" w:rsidRDefault="00B80DC7" w:rsidP="00B80DC7">
      <w:pPr>
        <w:rPr>
          <w:rFonts w:ascii="Gill Sans MT" w:hAnsi="Gill Sans MT"/>
          <w:sz w:val="26"/>
          <w:szCs w:val="26"/>
        </w:rPr>
      </w:pPr>
      <w:r w:rsidRPr="00B938BB">
        <w:rPr>
          <w:rFonts w:ascii="Gill Sans MT" w:hAnsi="Gill Sans MT"/>
          <w:sz w:val="26"/>
          <w:szCs w:val="26"/>
        </w:rPr>
        <w:t xml:space="preserve">Currently there are few international frameworks that specifically target age inequalities. The Madrid International Plan of Action on Ageing (MIPAA) provides guidance on promoting the rights and well-being of older </w:t>
      </w:r>
      <w:r w:rsidR="00D35CC7" w:rsidRPr="00B938BB">
        <w:rPr>
          <w:rFonts w:ascii="Gill Sans MT" w:hAnsi="Gill Sans MT"/>
          <w:sz w:val="26"/>
          <w:szCs w:val="26"/>
        </w:rPr>
        <w:t>people</w:t>
      </w:r>
      <w:r w:rsidRPr="00B938BB">
        <w:rPr>
          <w:rFonts w:ascii="Gill Sans MT" w:hAnsi="Gill Sans MT"/>
          <w:sz w:val="26"/>
          <w:szCs w:val="26"/>
        </w:rPr>
        <w:t xml:space="preserve"> but is non-binding. Recently The World Health Organization set in place a Decade of Healthy Ageing (2021–2030) plan promoting targeted assistance and inclusive healthcare systems, in line with the sustainable development goals.</w:t>
      </w:r>
    </w:p>
    <w:p w14:paraId="1F4E8C09" w14:textId="77777777" w:rsidR="00B80DC7" w:rsidRPr="00B938BB" w:rsidRDefault="00B80DC7" w:rsidP="00B80DC7">
      <w:pPr>
        <w:rPr>
          <w:rFonts w:ascii="Gill Sans MT" w:hAnsi="Gill Sans MT"/>
          <w:sz w:val="26"/>
          <w:szCs w:val="26"/>
        </w:rPr>
      </w:pPr>
    </w:p>
    <w:p w14:paraId="235EF945" w14:textId="18F2427B" w:rsidR="00B80DC7" w:rsidRPr="00B938BB" w:rsidRDefault="00B80DC7" w:rsidP="00B80DC7">
      <w:pPr>
        <w:rPr>
          <w:rFonts w:ascii="Gill Sans MT" w:hAnsi="Gill Sans MT"/>
          <w:sz w:val="26"/>
          <w:szCs w:val="26"/>
        </w:rPr>
      </w:pPr>
      <w:r w:rsidRPr="00B938BB">
        <w:rPr>
          <w:rFonts w:ascii="Gill Sans MT" w:hAnsi="Gill Sans MT"/>
          <w:sz w:val="26"/>
          <w:szCs w:val="26"/>
        </w:rPr>
        <w:t xml:space="preserve">Failure to protect older </w:t>
      </w:r>
      <w:r w:rsidR="00305786" w:rsidRPr="00B938BB">
        <w:rPr>
          <w:rFonts w:ascii="Gill Sans MT" w:hAnsi="Gill Sans MT"/>
          <w:sz w:val="26"/>
          <w:szCs w:val="26"/>
        </w:rPr>
        <w:t>people</w:t>
      </w:r>
      <w:r w:rsidRPr="00B938BB">
        <w:rPr>
          <w:rFonts w:ascii="Gill Sans MT" w:hAnsi="Gill Sans MT"/>
          <w:sz w:val="26"/>
          <w:szCs w:val="26"/>
        </w:rPr>
        <w:t xml:space="preserve"> can strain healthcare systems, increase poverty, and fuel intergenerational inequality. When tackling this </w:t>
      </w:r>
      <w:r w:rsidR="00FD782E" w:rsidRPr="00B938BB">
        <w:rPr>
          <w:rFonts w:ascii="Gill Sans MT" w:hAnsi="Gill Sans MT"/>
          <w:sz w:val="26"/>
          <w:szCs w:val="26"/>
        </w:rPr>
        <w:t>issue,</w:t>
      </w:r>
      <w:r w:rsidRPr="00B938BB">
        <w:rPr>
          <w:rFonts w:ascii="Gill Sans MT" w:hAnsi="Gill Sans MT"/>
          <w:sz w:val="26"/>
          <w:szCs w:val="26"/>
        </w:rPr>
        <w:t xml:space="preserve"> it is important to consider the major barriers faced by the elderly population in all aspects of their lives and how cultural and economic factors can influence this. Policies that provide holistic support to senior citizens can have a transformative effect on all levels of society, from increasing social and economic contribution to improving the financial stability and outlook of future generations.</w:t>
      </w:r>
    </w:p>
    <w:p w14:paraId="0A5582BC" w14:textId="77777777" w:rsidR="00B80DC7" w:rsidRPr="00B938BB" w:rsidRDefault="00B80DC7" w:rsidP="00B80DC7">
      <w:pPr>
        <w:rPr>
          <w:rFonts w:ascii="Gill Sans MT" w:hAnsi="Gill Sans MT"/>
          <w:sz w:val="26"/>
          <w:szCs w:val="26"/>
        </w:rPr>
      </w:pPr>
    </w:p>
    <w:p w14:paraId="0D85140B" w14:textId="3D5BFA9B" w:rsidR="00B80DC7" w:rsidRPr="00A96A78" w:rsidRDefault="00B80DC7" w:rsidP="00B80DC7">
      <w:pPr>
        <w:rPr>
          <w:rFonts w:ascii="Gill Sans MT" w:hAnsi="Gill Sans MT"/>
          <w:b/>
          <w:bCs/>
          <w:sz w:val="26"/>
          <w:szCs w:val="26"/>
        </w:rPr>
      </w:pPr>
      <w:r w:rsidRPr="00A96A78">
        <w:rPr>
          <w:rFonts w:ascii="Gill Sans MT" w:hAnsi="Gill Sans MT"/>
          <w:b/>
          <w:bCs/>
          <w:sz w:val="26"/>
          <w:szCs w:val="26"/>
        </w:rPr>
        <w:t xml:space="preserve">Points to </w:t>
      </w:r>
      <w:r w:rsidR="00163145" w:rsidRPr="00A96A78">
        <w:rPr>
          <w:rFonts w:ascii="Gill Sans MT" w:hAnsi="Gill Sans MT"/>
          <w:b/>
          <w:bCs/>
          <w:sz w:val="26"/>
          <w:szCs w:val="26"/>
        </w:rPr>
        <w:t>C</w:t>
      </w:r>
      <w:r w:rsidRPr="00A96A78">
        <w:rPr>
          <w:rFonts w:ascii="Gill Sans MT" w:hAnsi="Gill Sans MT"/>
          <w:b/>
          <w:bCs/>
          <w:sz w:val="26"/>
          <w:szCs w:val="26"/>
        </w:rPr>
        <w:t>onsider</w:t>
      </w:r>
      <w:r w:rsidR="00EC4346" w:rsidRPr="00A96A78">
        <w:rPr>
          <w:rFonts w:ascii="Gill Sans MT" w:hAnsi="Gill Sans MT"/>
          <w:b/>
          <w:bCs/>
          <w:sz w:val="26"/>
          <w:szCs w:val="26"/>
        </w:rPr>
        <w:t>:</w:t>
      </w:r>
    </w:p>
    <w:p w14:paraId="455EAC7F" w14:textId="77777777" w:rsidR="00B80DC7" w:rsidRPr="00B938BB" w:rsidRDefault="00B80DC7" w:rsidP="00B80DC7">
      <w:pPr>
        <w:numPr>
          <w:ilvl w:val="0"/>
          <w:numId w:val="1"/>
        </w:numPr>
        <w:spacing w:line="278" w:lineRule="auto"/>
        <w:rPr>
          <w:rFonts w:ascii="Gill Sans MT" w:hAnsi="Gill Sans MT"/>
          <w:sz w:val="26"/>
          <w:szCs w:val="26"/>
        </w:rPr>
      </w:pPr>
      <w:r w:rsidRPr="00B938BB">
        <w:rPr>
          <w:rFonts w:ascii="Gill Sans MT" w:hAnsi="Gill Sans MT"/>
          <w:sz w:val="26"/>
          <w:szCs w:val="26"/>
        </w:rPr>
        <w:t>How can pension and healthcare systems be adapted to remain sustainable in ageing societies?</w:t>
      </w:r>
    </w:p>
    <w:p w14:paraId="5C0C52B3" w14:textId="77777777" w:rsidR="00B80DC7" w:rsidRPr="00B938BB" w:rsidRDefault="00B80DC7" w:rsidP="00B80DC7">
      <w:pPr>
        <w:numPr>
          <w:ilvl w:val="0"/>
          <w:numId w:val="1"/>
        </w:numPr>
        <w:spacing w:line="278" w:lineRule="auto"/>
        <w:rPr>
          <w:rFonts w:ascii="Gill Sans MT" w:hAnsi="Gill Sans MT"/>
          <w:sz w:val="26"/>
          <w:szCs w:val="26"/>
        </w:rPr>
      </w:pPr>
      <w:r w:rsidRPr="00B938BB">
        <w:rPr>
          <w:rFonts w:ascii="Gill Sans MT" w:hAnsi="Gill Sans MT"/>
          <w:sz w:val="26"/>
          <w:szCs w:val="26"/>
        </w:rPr>
        <w:t>What policies can combat ageism and promote the social inclusion of senior citizens?</w:t>
      </w:r>
    </w:p>
    <w:p w14:paraId="5FCD74FE" w14:textId="77777777" w:rsidR="00B80DC7" w:rsidRPr="00B938BB" w:rsidRDefault="00B80DC7" w:rsidP="00B80DC7">
      <w:pPr>
        <w:numPr>
          <w:ilvl w:val="0"/>
          <w:numId w:val="1"/>
        </w:numPr>
        <w:spacing w:line="278" w:lineRule="auto"/>
        <w:rPr>
          <w:rFonts w:ascii="Gill Sans MT" w:hAnsi="Gill Sans MT"/>
          <w:sz w:val="26"/>
          <w:szCs w:val="26"/>
        </w:rPr>
      </w:pPr>
      <w:r w:rsidRPr="00B938BB">
        <w:rPr>
          <w:rFonts w:ascii="Gill Sans MT" w:hAnsi="Gill Sans MT"/>
          <w:sz w:val="26"/>
          <w:szCs w:val="26"/>
        </w:rPr>
        <w:t>How can governments ensure the protection of older persons in emergencies and humanitarian crises?</w:t>
      </w:r>
    </w:p>
    <w:p w14:paraId="680E178D" w14:textId="77777777" w:rsidR="00B80DC7" w:rsidRPr="00B938BB" w:rsidRDefault="00B80DC7" w:rsidP="00B80DC7">
      <w:pPr>
        <w:numPr>
          <w:ilvl w:val="0"/>
          <w:numId w:val="1"/>
        </w:numPr>
        <w:spacing w:line="278" w:lineRule="auto"/>
        <w:rPr>
          <w:rFonts w:ascii="Gill Sans MT" w:hAnsi="Gill Sans MT"/>
          <w:sz w:val="26"/>
          <w:szCs w:val="26"/>
        </w:rPr>
      </w:pPr>
      <w:r w:rsidRPr="00B938BB">
        <w:rPr>
          <w:rFonts w:ascii="Gill Sans MT" w:hAnsi="Gill Sans MT"/>
          <w:sz w:val="26"/>
          <w:szCs w:val="26"/>
        </w:rPr>
        <w:t>What role can technology play in improving healthcare and independence for older populations?</w:t>
      </w:r>
    </w:p>
    <w:p w14:paraId="7FAA6FE9" w14:textId="77777777" w:rsidR="00B80DC7" w:rsidRPr="00B938BB" w:rsidRDefault="00B80DC7" w:rsidP="00B80DC7">
      <w:pPr>
        <w:rPr>
          <w:rFonts w:ascii="Gill Sans MT" w:hAnsi="Gill Sans MT"/>
          <w:sz w:val="26"/>
          <w:szCs w:val="26"/>
        </w:rPr>
      </w:pPr>
    </w:p>
    <w:p w14:paraId="5A9655ED" w14:textId="77777777" w:rsidR="00A17608" w:rsidRDefault="00A17608" w:rsidP="00B80DC7">
      <w:pPr>
        <w:rPr>
          <w:rFonts w:ascii="Gill Sans MT" w:hAnsi="Gill Sans MT"/>
          <w:b/>
          <w:bCs/>
          <w:sz w:val="26"/>
          <w:szCs w:val="26"/>
        </w:rPr>
      </w:pPr>
    </w:p>
    <w:p w14:paraId="447CDA5D" w14:textId="09FA18CE" w:rsidR="00CA0002" w:rsidRPr="00D208E7" w:rsidRDefault="00D208E7" w:rsidP="00B80DC7">
      <w:pPr>
        <w:rPr>
          <w:rFonts w:ascii="Gill Sans MT" w:hAnsi="Gill Sans MT"/>
          <w:b/>
          <w:bCs/>
          <w:sz w:val="26"/>
          <w:szCs w:val="26"/>
        </w:rPr>
      </w:pPr>
      <w:r>
        <w:rPr>
          <w:rFonts w:ascii="Gill Sans MT" w:hAnsi="Gill Sans MT"/>
          <w:b/>
          <w:bCs/>
          <w:sz w:val="26"/>
          <w:szCs w:val="26"/>
        </w:rPr>
        <w:t>Re</w:t>
      </w:r>
      <w:r w:rsidR="0004454A">
        <w:rPr>
          <w:rFonts w:ascii="Gill Sans MT" w:hAnsi="Gill Sans MT"/>
          <w:b/>
          <w:bCs/>
          <w:sz w:val="26"/>
          <w:szCs w:val="26"/>
        </w:rPr>
        <w:t>leva</w:t>
      </w:r>
      <w:r w:rsidR="003F158B">
        <w:rPr>
          <w:rFonts w:ascii="Gill Sans MT" w:hAnsi="Gill Sans MT"/>
          <w:b/>
          <w:bCs/>
          <w:sz w:val="26"/>
          <w:szCs w:val="26"/>
        </w:rPr>
        <w:t>nt Res</w:t>
      </w:r>
      <w:r w:rsidR="00362D55">
        <w:rPr>
          <w:rFonts w:ascii="Gill Sans MT" w:hAnsi="Gill Sans MT"/>
          <w:b/>
          <w:bCs/>
          <w:sz w:val="26"/>
          <w:szCs w:val="26"/>
        </w:rPr>
        <w:t>ources</w:t>
      </w:r>
      <w:r w:rsidR="00860C52">
        <w:rPr>
          <w:rFonts w:ascii="Gill Sans MT" w:hAnsi="Gill Sans MT"/>
          <w:b/>
          <w:bCs/>
          <w:sz w:val="26"/>
          <w:szCs w:val="26"/>
        </w:rPr>
        <w:t>:</w:t>
      </w:r>
    </w:p>
    <w:p w14:paraId="489428DE" w14:textId="77777777" w:rsidR="00B80DC7" w:rsidRPr="00C25F28" w:rsidRDefault="00B80DC7" w:rsidP="00C25F28">
      <w:pPr>
        <w:pStyle w:val="ListParagraph"/>
        <w:numPr>
          <w:ilvl w:val="0"/>
          <w:numId w:val="2"/>
        </w:numPr>
        <w:rPr>
          <w:rFonts w:ascii="Gill Sans MT" w:hAnsi="Gill Sans MT"/>
          <w:sz w:val="26"/>
          <w:szCs w:val="26"/>
        </w:rPr>
      </w:pPr>
      <w:hyperlink r:id="rId8" w:history="1">
        <w:r w:rsidRPr="00C25F28">
          <w:rPr>
            <w:rStyle w:val="Hyperlink"/>
            <w:rFonts w:ascii="Gill Sans MT" w:hAnsi="Gill Sans MT"/>
            <w:sz w:val="26"/>
            <w:szCs w:val="26"/>
          </w:rPr>
          <w:t>https://www.un.org/en/global-issues/ageing</w:t>
        </w:r>
      </w:hyperlink>
      <w:r w:rsidRPr="00C25F28">
        <w:rPr>
          <w:rFonts w:ascii="Gill Sans MT" w:hAnsi="Gill Sans MT"/>
          <w:sz w:val="26"/>
          <w:szCs w:val="26"/>
        </w:rPr>
        <w:t xml:space="preserve"> </w:t>
      </w:r>
    </w:p>
    <w:p w14:paraId="76F0A3C9" w14:textId="77777777" w:rsidR="00B80DC7" w:rsidRPr="00C25F28" w:rsidRDefault="00B80DC7" w:rsidP="00C25F28">
      <w:pPr>
        <w:pStyle w:val="ListParagraph"/>
        <w:numPr>
          <w:ilvl w:val="0"/>
          <w:numId w:val="2"/>
        </w:numPr>
        <w:rPr>
          <w:rFonts w:ascii="Gill Sans MT" w:hAnsi="Gill Sans MT"/>
          <w:sz w:val="26"/>
          <w:szCs w:val="26"/>
        </w:rPr>
      </w:pPr>
      <w:hyperlink r:id="rId9" w:history="1">
        <w:r w:rsidRPr="00C25F28">
          <w:rPr>
            <w:rStyle w:val="Hyperlink"/>
            <w:rFonts w:ascii="Gill Sans MT" w:hAnsi="Gill Sans MT"/>
            <w:sz w:val="26"/>
            <w:szCs w:val="26"/>
          </w:rPr>
          <w:t>https://www.who.int/initiatives/decade-of-healthy-ageing</w:t>
        </w:r>
      </w:hyperlink>
    </w:p>
    <w:p w14:paraId="2C078E63" w14:textId="01D47036" w:rsidR="005F1F98" w:rsidRPr="00C25F28" w:rsidRDefault="00B80DC7" w:rsidP="00C25F28">
      <w:pPr>
        <w:pStyle w:val="ListParagraph"/>
        <w:numPr>
          <w:ilvl w:val="0"/>
          <w:numId w:val="2"/>
        </w:numPr>
        <w:rPr>
          <w:rFonts w:ascii="Gill Sans MT" w:hAnsi="Gill Sans MT"/>
          <w:sz w:val="26"/>
          <w:szCs w:val="26"/>
        </w:rPr>
      </w:pPr>
      <w:hyperlink r:id="rId10" w:history="1">
        <w:r w:rsidRPr="00C25F28">
          <w:rPr>
            <w:rStyle w:val="Hyperlink"/>
            <w:rFonts w:ascii="Gill Sans MT" w:hAnsi="Gill Sans MT"/>
            <w:sz w:val="26"/>
            <w:szCs w:val="26"/>
          </w:rPr>
          <w:t>https://www.un.org/esa/socdev/documents/ageing/MIPAA/political-declaration-en.pdf</w:t>
        </w:r>
      </w:hyperlink>
    </w:p>
    <w:sectPr w:rsidR="005F1F98" w:rsidRPr="00C25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ill Sans MT">
    <w:altName w:val="Calibr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55C4C"/>
    <w:multiLevelType w:val="hybridMultilevel"/>
    <w:tmpl w:val="11986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C2F2B"/>
    <w:multiLevelType w:val="multilevel"/>
    <w:tmpl w:val="7DC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727729">
    <w:abstractNumId w:val="1"/>
  </w:num>
  <w:num w:numId="2" w16cid:durableId="291716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B3DBE8"/>
    <w:rsid w:val="00030679"/>
    <w:rsid w:val="0004454A"/>
    <w:rsid w:val="000F7A16"/>
    <w:rsid w:val="001049DD"/>
    <w:rsid w:val="00163145"/>
    <w:rsid w:val="001A1848"/>
    <w:rsid w:val="001B19F7"/>
    <w:rsid w:val="002C7E4A"/>
    <w:rsid w:val="00305786"/>
    <w:rsid w:val="00362D55"/>
    <w:rsid w:val="00387E82"/>
    <w:rsid w:val="003975C0"/>
    <w:rsid w:val="003A4903"/>
    <w:rsid w:val="003F158B"/>
    <w:rsid w:val="00417854"/>
    <w:rsid w:val="005F1F98"/>
    <w:rsid w:val="006C7E51"/>
    <w:rsid w:val="00710B55"/>
    <w:rsid w:val="007D53C6"/>
    <w:rsid w:val="008377D1"/>
    <w:rsid w:val="00860C52"/>
    <w:rsid w:val="00A17608"/>
    <w:rsid w:val="00A96A78"/>
    <w:rsid w:val="00B80DC7"/>
    <w:rsid w:val="00B938BB"/>
    <w:rsid w:val="00BB0591"/>
    <w:rsid w:val="00C25F28"/>
    <w:rsid w:val="00CA0002"/>
    <w:rsid w:val="00D208E7"/>
    <w:rsid w:val="00D35CC7"/>
    <w:rsid w:val="00E05E21"/>
    <w:rsid w:val="00EC4346"/>
    <w:rsid w:val="00ED7F28"/>
    <w:rsid w:val="00F13AA5"/>
    <w:rsid w:val="00F75208"/>
    <w:rsid w:val="00FD782E"/>
    <w:rsid w:val="00FF1607"/>
    <w:rsid w:val="0BB3DB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5D7B"/>
  <w15:chartTrackingRefBased/>
  <w15:docId w15:val="{7358BA20-8E8E-4BA8-B35B-22545730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DC7"/>
    <w:rPr>
      <w:color w:val="467886" w:themeColor="hyperlink"/>
      <w:u w:val="single"/>
    </w:rPr>
  </w:style>
  <w:style w:type="paragraph" w:styleId="ListParagraph">
    <w:name w:val="List Paragraph"/>
    <w:basedOn w:val="Normal"/>
    <w:uiPriority w:val="34"/>
    <w:qFormat/>
    <w:rsid w:val="00C25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n/global-issues/age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un.org/esa/socdev/documents/ageing/MIPAA/political-declaration-en.pdf" TargetMode="External"/><Relationship Id="rId4" Type="http://schemas.openxmlformats.org/officeDocument/2006/relationships/numbering" Target="numbering.xml"/><Relationship Id="rId9" Type="http://schemas.openxmlformats.org/officeDocument/2006/relationships/hyperlink" Target="https://www.who.int/initiatives/decade-of-healthy-ag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EDC02-303F-4357-91F2-8D533D22C9CA}">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2.xml><?xml version="1.0" encoding="utf-8"?>
<ds:datastoreItem xmlns:ds="http://schemas.openxmlformats.org/officeDocument/2006/customXml" ds:itemID="{0757B4C3-7E5B-4D00-82B0-DAEB53135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24BCF-E6F7-4455-85A7-A2149B99FA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3728</Characters>
  <Application>Microsoft Office Word</Application>
  <DocSecurity>4</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Kiyah-Louise Lopez (S6SN)</dc:creator>
  <cp:keywords/>
  <dc:description/>
  <cp:lastModifiedBy/>
  <cp:revision>1</cp:revision>
  <dcterms:created xsi:type="dcterms:W3CDTF">2026-01-26T20:55:00Z</dcterms:created>
  <dcterms:modified xsi:type="dcterms:W3CDTF">2026-01-26T20:59:00Z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