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EA71" w14:textId="7FA4CF01" w:rsidR="006945A7" w:rsidRPr="002053C6" w:rsidRDefault="006945A7" w:rsidP="006945A7">
      <w:pPr>
        <w:rPr>
          <w:rFonts w:ascii="Gill Sans MT" w:hAnsi="Gill Sans MT" w:cs="Calibri"/>
          <w:b/>
          <w:bCs/>
          <w:sz w:val="32"/>
          <w:szCs w:val="32"/>
        </w:rPr>
      </w:pPr>
      <w:r w:rsidRPr="002053C6">
        <w:rPr>
          <w:rFonts w:ascii="Gill Sans MT" w:hAnsi="Gill Sans MT" w:cs="Calibri"/>
          <w:b/>
          <w:bCs/>
          <w:sz w:val="32"/>
          <w:szCs w:val="32"/>
        </w:rPr>
        <w:t>The Issue of Collaborating Internationally on Ensuring Corporate Accountability in Resources</w:t>
      </w:r>
    </w:p>
    <w:p w14:paraId="6C4BC591" w14:textId="77777777" w:rsidR="006945A7" w:rsidRPr="002053C6" w:rsidRDefault="006945A7" w:rsidP="006945A7">
      <w:pPr>
        <w:rPr>
          <w:rFonts w:ascii="Gill Sans MT" w:hAnsi="Gill Sans MT" w:cs="Calibri"/>
          <w:sz w:val="26"/>
          <w:szCs w:val="26"/>
        </w:rPr>
      </w:pPr>
      <w:r w:rsidRPr="002053C6">
        <w:rPr>
          <w:rFonts w:ascii="Gill Sans MT" w:hAnsi="Gill Sans MT" w:cs="Calibri"/>
          <w:sz w:val="26"/>
          <w:szCs w:val="26"/>
        </w:rPr>
        <w:t>The extraction and trade of natural resources such as minerals, oil, gas, and timber are central to the global economy, particularly in developing regions. However, weak corporate accountability in resource sectors has contributed to environmental degradation, human rights abuses, corruption, and economic instability. As innovation accelerates demand for critical resources—such as lithium, cobalt, and rare earth elements—ensuring responsible corporate behaviour has become an urgent global concern.</w:t>
      </w:r>
    </w:p>
    <w:p w14:paraId="31E747AF" w14:textId="77777777" w:rsidR="006945A7" w:rsidRPr="002053C6" w:rsidRDefault="006945A7" w:rsidP="006945A7">
      <w:pPr>
        <w:rPr>
          <w:rFonts w:ascii="Gill Sans MT" w:hAnsi="Gill Sans MT" w:cs="Calibri"/>
          <w:sz w:val="26"/>
          <w:szCs w:val="26"/>
        </w:rPr>
      </w:pPr>
      <w:r w:rsidRPr="002053C6">
        <w:rPr>
          <w:rFonts w:ascii="Gill Sans MT" w:hAnsi="Gill Sans MT" w:cs="Calibri"/>
          <w:sz w:val="26"/>
          <w:szCs w:val="26"/>
        </w:rPr>
        <w:t>Resource-rich countries often rely heavily on multinational corporations for investment and technological expertise. While such investment can drive economic growth, inadequate regulation and enforcement frequently allow corporate actors to exploit natural resources without sufficient regard for environmental protection, labour rights, or local communities. The OECD reports that extractive industries are among the sectors most frequently linked to human rights violations and environmental harm.</w:t>
      </w:r>
    </w:p>
    <w:p w14:paraId="10B5CFBB" w14:textId="77777777" w:rsidR="006945A7" w:rsidRPr="002053C6" w:rsidRDefault="006945A7" w:rsidP="006945A7">
      <w:pPr>
        <w:rPr>
          <w:rFonts w:ascii="Gill Sans MT" w:hAnsi="Gill Sans MT" w:cs="Calibri"/>
          <w:sz w:val="26"/>
          <w:szCs w:val="26"/>
        </w:rPr>
      </w:pPr>
      <w:r w:rsidRPr="002053C6">
        <w:rPr>
          <w:rFonts w:ascii="Gill Sans MT" w:hAnsi="Gill Sans MT" w:cs="Calibri"/>
          <w:sz w:val="26"/>
          <w:szCs w:val="26"/>
        </w:rPr>
        <w:t>In some regions, weak governance enables resource exploitation to fuel corruption and conflict. Revenues from natural resources may be misappropriated, undermining public trust and state capacity. In fragile and conflict-affected states, resource extraction has been linked to financing armed groups and prolonging instability, a phenomenon often referred to as the “resource curse.”</w:t>
      </w:r>
    </w:p>
    <w:p w14:paraId="29EEF387" w14:textId="77777777" w:rsidR="006945A7" w:rsidRPr="002053C6" w:rsidRDefault="006945A7" w:rsidP="006945A7">
      <w:pPr>
        <w:rPr>
          <w:rFonts w:ascii="Gill Sans MT" w:hAnsi="Gill Sans MT" w:cs="Calibri"/>
          <w:sz w:val="26"/>
          <w:szCs w:val="26"/>
        </w:rPr>
      </w:pPr>
      <w:r w:rsidRPr="002053C6">
        <w:rPr>
          <w:rFonts w:ascii="Gill Sans MT" w:hAnsi="Gill Sans MT" w:cs="Calibri"/>
          <w:sz w:val="26"/>
          <w:szCs w:val="26"/>
        </w:rPr>
        <w:t>International frameworks such as the UN Guiding Principles on Business and Human Rights (UNGPs), the Extractive Industries Transparency Initiative (EITI), and OECD Due Diligence Guidelines aim to promote corporate accountability and transparency. However, these mechanisms are largely voluntary and unevenly implemented. Many corporations operate across jurisdictions with varying legal standards, making enforcement difficult.</w:t>
      </w:r>
    </w:p>
    <w:p w14:paraId="4F015D88" w14:textId="77777777" w:rsidR="006945A7" w:rsidRPr="002053C6" w:rsidRDefault="006945A7" w:rsidP="006945A7">
      <w:pPr>
        <w:rPr>
          <w:rFonts w:ascii="Gill Sans MT" w:hAnsi="Gill Sans MT" w:cs="Calibri"/>
          <w:sz w:val="26"/>
          <w:szCs w:val="26"/>
        </w:rPr>
      </w:pPr>
      <w:r w:rsidRPr="002053C6">
        <w:rPr>
          <w:rFonts w:ascii="Gill Sans MT" w:hAnsi="Gill Sans MT" w:cs="Calibri"/>
          <w:sz w:val="26"/>
          <w:szCs w:val="26"/>
        </w:rPr>
        <w:t>Growing global demand for resources required for renewable energy technologies and digital infrastructure adds further pressure. Without strong international cooperation, the transition to a green and digital economy risks replicating exploitative practices under a new guise. Ensuring ethical sourcing, environmental sustainability, and fair labour practices is therefore essential to long-term economic and social stability.</w:t>
      </w:r>
    </w:p>
    <w:p w14:paraId="026DFBEF" w14:textId="1909C3B5" w:rsidR="006945A7" w:rsidRPr="002053C6" w:rsidRDefault="006945A7" w:rsidP="006945A7">
      <w:pPr>
        <w:rPr>
          <w:rFonts w:ascii="Gill Sans MT" w:hAnsi="Gill Sans MT" w:cs="Calibri"/>
          <w:sz w:val="26"/>
          <w:szCs w:val="26"/>
        </w:rPr>
      </w:pPr>
      <w:proofErr w:type="spellStart"/>
      <w:r w:rsidRPr="002053C6">
        <w:rPr>
          <w:rFonts w:ascii="Gill Sans MT" w:hAnsi="Gill Sans MT" w:cs="Calibri"/>
          <w:sz w:val="26"/>
          <w:szCs w:val="26"/>
        </w:rPr>
        <w:t>SpecCom</w:t>
      </w:r>
      <w:proofErr w:type="spellEnd"/>
      <w:r w:rsidRPr="002053C6">
        <w:rPr>
          <w:rFonts w:ascii="Gill Sans MT" w:hAnsi="Gill Sans MT" w:cs="Calibri"/>
          <w:sz w:val="26"/>
          <w:szCs w:val="26"/>
        </w:rPr>
        <w:t xml:space="preserve"> can contribute by promoting multilateral cooperation on corporate accountability, encouraging harmonised standards, and strengthening international mechanisms that hold corporations accountable across borders.</w:t>
      </w:r>
    </w:p>
    <w:p w14:paraId="5066A4EA" w14:textId="68B4A80D" w:rsidR="006945A7" w:rsidRDefault="006945A7" w:rsidP="006945A7">
      <w:pPr>
        <w:rPr>
          <w:rFonts w:ascii="Gill Sans MT" w:hAnsi="Gill Sans MT" w:cs="Calibri"/>
          <w:sz w:val="26"/>
          <w:szCs w:val="26"/>
        </w:rPr>
      </w:pPr>
      <w:r w:rsidRPr="002053C6">
        <w:rPr>
          <w:rFonts w:ascii="Gill Sans MT" w:hAnsi="Gill Sans MT" w:cs="Calibri"/>
          <w:b/>
          <w:bCs/>
          <w:sz w:val="26"/>
          <w:szCs w:val="26"/>
        </w:rPr>
        <w:lastRenderedPageBreak/>
        <w:t>Points</w:t>
      </w:r>
      <w:r w:rsidR="002053C6" w:rsidRPr="002053C6">
        <w:rPr>
          <w:rFonts w:ascii="Gill Sans MT" w:hAnsi="Gill Sans MT" w:cs="Calibri"/>
          <w:b/>
          <w:bCs/>
          <w:sz w:val="26"/>
          <w:szCs w:val="26"/>
        </w:rPr>
        <w:t xml:space="preserve"> to Consider</w:t>
      </w:r>
      <w:r w:rsidRPr="002053C6">
        <w:rPr>
          <w:rFonts w:ascii="Gill Sans MT" w:hAnsi="Gill Sans MT" w:cs="Calibri"/>
          <w:b/>
          <w:bCs/>
          <w:sz w:val="26"/>
          <w:szCs w:val="26"/>
        </w:rPr>
        <w:t>:</w:t>
      </w:r>
      <w:r w:rsidRPr="002053C6">
        <w:rPr>
          <w:rFonts w:ascii="Gill Sans MT" w:hAnsi="Gill Sans MT" w:cs="Calibri"/>
          <w:sz w:val="26"/>
          <w:szCs w:val="26"/>
        </w:rPr>
        <w:br/>
        <w:t>• How can international cooperation improve enforcement of corporate accountability standards?</w:t>
      </w:r>
      <w:r w:rsidRPr="002053C6">
        <w:rPr>
          <w:rFonts w:ascii="Gill Sans MT" w:hAnsi="Gill Sans MT" w:cs="Calibri"/>
          <w:sz w:val="26"/>
          <w:szCs w:val="26"/>
        </w:rPr>
        <w:br/>
        <w:t>• Should corporate accountability mechanisms be legally binding at the global level?</w:t>
      </w:r>
      <w:r w:rsidRPr="002053C6">
        <w:rPr>
          <w:rFonts w:ascii="Gill Sans MT" w:hAnsi="Gill Sans MT" w:cs="Calibri"/>
          <w:sz w:val="26"/>
          <w:szCs w:val="26"/>
        </w:rPr>
        <w:br/>
        <w:t>• How can resource-rich developing countries protect sovereignty while ensuring responsible investment?</w:t>
      </w:r>
      <w:r w:rsidRPr="002053C6">
        <w:rPr>
          <w:rFonts w:ascii="Gill Sans MT" w:hAnsi="Gill Sans MT" w:cs="Calibri"/>
          <w:sz w:val="26"/>
          <w:szCs w:val="26"/>
        </w:rPr>
        <w:br/>
        <w:t>• What role can transparency initiatives play in preventing corruption and conflict?</w:t>
      </w:r>
      <w:r w:rsidRPr="002053C6">
        <w:rPr>
          <w:rFonts w:ascii="Gill Sans MT" w:hAnsi="Gill Sans MT" w:cs="Calibri"/>
          <w:sz w:val="26"/>
          <w:szCs w:val="26"/>
        </w:rPr>
        <w:br/>
        <w:t>• How can innovation and green transitions avoid creating new forms of exploitation?</w:t>
      </w:r>
    </w:p>
    <w:p w14:paraId="13480058" w14:textId="77777777" w:rsidR="002053C6" w:rsidRPr="002053C6" w:rsidRDefault="002053C6" w:rsidP="006945A7">
      <w:pPr>
        <w:rPr>
          <w:rFonts w:ascii="Gill Sans MT" w:hAnsi="Gill Sans MT" w:cs="Calibri"/>
          <w:sz w:val="26"/>
          <w:szCs w:val="26"/>
        </w:rPr>
      </w:pPr>
    </w:p>
    <w:p w14:paraId="1EA806F2" w14:textId="6611434F" w:rsidR="00E05AC8" w:rsidRPr="002053C6" w:rsidRDefault="006945A7" w:rsidP="006945A7">
      <w:pPr>
        <w:rPr>
          <w:rFonts w:ascii="Gill Sans MT" w:hAnsi="Gill Sans MT"/>
          <w:sz w:val="26"/>
          <w:szCs w:val="26"/>
        </w:rPr>
      </w:pPr>
      <w:r w:rsidRPr="002053C6">
        <w:rPr>
          <w:rFonts w:ascii="Gill Sans MT" w:hAnsi="Gill Sans MT" w:cs="Calibri"/>
          <w:b/>
          <w:bCs/>
          <w:sz w:val="26"/>
          <w:szCs w:val="26"/>
        </w:rPr>
        <w:t xml:space="preserve">Relevant </w:t>
      </w:r>
      <w:r w:rsidR="002053C6" w:rsidRPr="002053C6">
        <w:rPr>
          <w:rFonts w:ascii="Gill Sans MT" w:hAnsi="Gill Sans MT" w:cs="Calibri"/>
          <w:b/>
          <w:bCs/>
          <w:sz w:val="26"/>
          <w:szCs w:val="26"/>
        </w:rPr>
        <w:t>R</w:t>
      </w:r>
      <w:r w:rsidRPr="002053C6">
        <w:rPr>
          <w:rFonts w:ascii="Gill Sans MT" w:hAnsi="Gill Sans MT" w:cs="Calibri"/>
          <w:b/>
          <w:bCs/>
          <w:sz w:val="26"/>
          <w:szCs w:val="26"/>
        </w:rPr>
        <w:t>esources:</w:t>
      </w:r>
      <w:r w:rsidRPr="002053C6">
        <w:rPr>
          <w:rFonts w:ascii="Gill Sans MT" w:hAnsi="Gill Sans MT" w:cs="Calibri"/>
          <w:sz w:val="26"/>
          <w:szCs w:val="26"/>
        </w:rPr>
        <w:br/>
        <w:t xml:space="preserve">• United Nations – </w:t>
      </w:r>
      <w:hyperlink r:id="rId7" w:history="1">
        <w:r w:rsidRPr="00285C7E">
          <w:rPr>
            <w:rStyle w:val="Hyperlink"/>
            <w:rFonts w:ascii="Gill Sans MT" w:hAnsi="Gill Sans MT" w:cs="Calibri"/>
            <w:i/>
            <w:iCs/>
            <w:sz w:val="26"/>
            <w:szCs w:val="26"/>
          </w:rPr>
          <w:t>Guiding Principles on Business and Human Rights</w:t>
        </w:r>
      </w:hyperlink>
      <w:r w:rsidRPr="002053C6">
        <w:rPr>
          <w:rFonts w:ascii="Gill Sans MT" w:hAnsi="Gill Sans MT" w:cs="Calibri"/>
          <w:sz w:val="26"/>
          <w:szCs w:val="26"/>
        </w:rPr>
        <w:br/>
        <w:t xml:space="preserve">• OECD – </w:t>
      </w:r>
      <w:hyperlink r:id="rId8" w:history="1">
        <w:r w:rsidRPr="00022D5E">
          <w:rPr>
            <w:rStyle w:val="Hyperlink"/>
            <w:rFonts w:ascii="Gill Sans MT" w:hAnsi="Gill Sans MT" w:cs="Calibri"/>
            <w:i/>
            <w:iCs/>
            <w:sz w:val="26"/>
            <w:szCs w:val="26"/>
          </w:rPr>
          <w:t>Due Diligence Guidance for Responsible Business Conduct</w:t>
        </w:r>
      </w:hyperlink>
      <w:r w:rsidRPr="002053C6">
        <w:rPr>
          <w:rFonts w:ascii="Gill Sans MT" w:hAnsi="Gill Sans MT" w:cs="Calibri"/>
          <w:sz w:val="26"/>
          <w:szCs w:val="26"/>
        </w:rPr>
        <w:br/>
        <w:t xml:space="preserve">• </w:t>
      </w:r>
      <w:hyperlink r:id="rId9" w:history="1">
        <w:r w:rsidRPr="00087D0B">
          <w:rPr>
            <w:rStyle w:val="Hyperlink"/>
            <w:rFonts w:ascii="Gill Sans MT" w:hAnsi="Gill Sans MT" w:cs="Calibri"/>
            <w:sz w:val="26"/>
            <w:szCs w:val="26"/>
          </w:rPr>
          <w:t>Extractive Industries Transparency Initiative (EITI)</w:t>
        </w:r>
      </w:hyperlink>
      <w:r w:rsidRPr="002053C6">
        <w:rPr>
          <w:rFonts w:ascii="Gill Sans MT" w:hAnsi="Gill Sans MT" w:cs="Calibri"/>
          <w:sz w:val="26"/>
          <w:szCs w:val="26"/>
        </w:rPr>
        <w:br/>
        <w:t xml:space="preserve">• UN Environment Programme (UNEP) – </w:t>
      </w:r>
      <w:hyperlink r:id="rId10" w:history="1">
        <w:r w:rsidRPr="00BC037D">
          <w:rPr>
            <w:rStyle w:val="Hyperlink"/>
            <w:rFonts w:ascii="Gill Sans MT" w:hAnsi="Gill Sans MT" w:cs="Calibri"/>
            <w:i/>
            <w:iCs/>
            <w:sz w:val="26"/>
            <w:szCs w:val="26"/>
          </w:rPr>
          <w:t>Resource Governance</w:t>
        </w:r>
      </w:hyperlink>
      <w:r w:rsidRPr="002053C6">
        <w:rPr>
          <w:rFonts w:ascii="Gill Sans MT" w:hAnsi="Gill Sans MT" w:cs="Calibri"/>
          <w:sz w:val="26"/>
          <w:szCs w:val="26"/>
        </w:rPr>
        <w:br/>
        <w:t xml:space="preserve">• World Bank – </w:t>
      </w:r>
      <w:hyperlink r:id="rId11" w:history="1">
        <w:r w:rsidRPr="0088447F">
          <w:rPr>
            <w:rStyle w:val="Hyperlink"/>
            <w:rFonts w:ascii="Gill Sans MT" w:hAnsi="Gill Sans MT" w:cs="Calibri"/>
            <w:i/>
            <w:iCs/>
            <w:sz w:val="26"/>
            <w:szCs w:val="26"/>
          </w:rPr>
          <w:t>Governance of Extractive Industries</w:t>
        </w:r>
      </w:hyperlink>
    </w:p>
    <w:sectPr w:rsidR="00E05AC8" w:rsidRPr="00205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C8"/>
    <w:rsid w:val="00022D5E"/>
    <w:rsid w:val="000875D8"/>
    <w:rsid w:val="00087D0B"/>
    <w:rsid w:val="000D67B2"/>
    <w:rsid w:val="00123DF0"/>
    <w:rsid w:val="002053C6"/>
    <w:rsid w:val="00285C7E"/>
    <w:rsid w:val="003D224E"/>
    <w:rsid w:val="006945A7"/>
    <w:rsid w:val="0088447F"/>
    <w:rsid w:val="00987FCD"/>
    <w:rsid w:val="009D15BD"/>
    <w:rsid w:val="00BC037D"/>
    <w:rsid w:val="00C84725"/>
    <w:rsid w:val="00E05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69D3"/>
  <w15:chartTrackingRefBased/>
  <w15:docId w15:val="{130B7F2B-072D-4F31-9C4A-8C5646DE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A7"/>
  </w:style>
  <w:style w:type="paragraph" w:styleId="Heading1">
    <w:name w:val="heading 1"/>
    <w:basedOn w:val="Normal"/>
    <w:next w:val="Normal"/>
    <w:link w:val="Heading1Char"/>
    <w:uiPriority w:val="9"/>
    <w:qFormat/>
    <w:rsid w:val="00E05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AC8"/>
    <w:rPr>
      <w:rFonts w:eastAsiaTheme="majorEastAsia" w:cstheme="majorBidi"/>
      <w:color w:val="272727" w:themeColor="text1" w:themeTint="D8"/>
    </w:rPr>
  </w:style>
  <w:style w:type="paragraph" w:styleId="Title">
    <w:name w:val="Title"/>
    <w:basedOn w:val="Normal"/>
    <w:next w:val="Normal"/>
    <w:link w:val="TitleChar"/>
    <w:uiPriority w:val="10"/>
    <w:qFormat/>
    <w:rsid w:val="00E05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AC8"/>
    <w:pPr>
      <w:spacing w:before="160"/>
      <w:jc w:val="center"/>
    </w:pPr>
    <w:rPr>
      <w:i/>
      <w:iCs/>
      <w:color w:val="404040" w:themeColor="text1" w:themeTint="BF"/>
    </w:rPr>
  </w:style>
  <w:style w:type="character" w:customStyle="1" w:styleId="QuoteChar">
    <w:name w:val="Quote Char"/>
    <w:basedOn w:val="DefaultParagraphFont"/>
    <w:link w:val="Quote"/>
    <w:uiPriority w:val="29"/>
    <w:rsid w:val="00E05AC8"/>
    <w:rPr>
      <w:i/>
      <w:iCs/>
      <w:color w:val="404040" w:themeColor="text1" w:themeTint="BF"/>
    </w:rPr>
  </w:style>
  <w:style w:type="paragraph" w:styleId="ListParagraph">
    <w:name w:val="List Paragraph"/>
    <w:basedOn w:val="Normal"/>
    <w:uiPriority w:val="34"/>
    <w:qFormat/>
    <w:rsid w:val="00E05AC8"/>
    <w:pPr>
      <w:ind w:left="720"/>
      <w:contextualSpacing/>
    </w:pPr>
  </w:style>
  <w:style w:type="character" w:styleId="IntenseEmphasis">
    <w:name w:val="Intense Emphasis"/>
    <w:basedOn w:val="DefaultParagraphFont"/>
    <w:uiPriority w:val="21"/>
    <w:qFormat/>
    <w:rsid w:val="00E05AC8"/>
    <w:rPr>
      <w:i/>
      <w:iCs/>
      <w:color w:val="0F4761" w:themeColor="accent1" w:themeShade="BF"/>
    </w:rPr>
  </w:style>
  <w:style w:type="paragraph" w:styleId="IntenseQuote">
    <w:name w:val="Intense Quote"/>
    <w:basedOn w:val="Normal"/>
    <w:next w:val="Normal"/>
    <w:link w:val="IntenseQuoteChar"/>
    <w:uiPriority w:val="30"/>
    <w:qFormat/>
    <w:rsid w:val="00E05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AC8"/>
    <w:rPr>
      <w:i/>
      <w:iCs/>
      <w:color w:val="0F4761" w:themeColor="accent1" w:themeShade="BF"/>
    </w:rPr>
  </w:style>
  <w:style w:type="character" w:styleId="IntenseReference">
    <w:name w:val="Intense Reference"/>
    <w:basedOn w:val="DefaultParagraphFont"/>
    <w:uiPriority w:val="32"/>
    <w:qFormat/>
    <w:rsid w:val="00E05AC8"/>
    <w:rPr>
      <w:b/>
      <w:bCs/>
      <w:smallCaps/>
      <w:color w:val="0F4761" w:themeColor="accent1" w:themeShade="BF"/>
      <w:spacing w:val="5"/>
    </w:rPr>
  </w:style>
  <w:style w:type="character" w:styleId="Hyperlink">
    <w:name w:val="Hyperlink"/>
    <w:basedOn w:val="DefaultParagraphFont"/>
    <w:uiPriority w:val="99"/>
    <w:unhideWhenUsed/>
    <w:rsid w:val="00E05AC8"/>
    <w:rPr>
      <w:color w:val="467886" w:themeColor="hyperlink"/>
      <w:u w:val="single"/>
    </w:rPr>
  </w:style>
  <w:style w:type="character" w:styleId="UnresolvedMention">
    <w:name w:val="Unresolved Mention"/>
    <w:basedOn w:val="DefaultParagraphFont"/>
    <w:uiPriority w:val="99"/>
    <w:semiHidden/>
    <w:unhideWhenUsed/>
    <w:rsid w:val="00E05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publications/2018/02/oecd-due-diligence-guidance-for-responsible-business-conduct_c669bd57.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ohchr.org/sites/default/files/documents/publications/guidingprinciplesbusinesshr_en.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bank.org/en/news/feature/2018/03/20/a-guide-to-good-governance-in-extractive-industries" TargetMode="External"/><Relationship Id="rId5" Type="http://schemas.openxmlformats.org/officeDocument/2006/relationships/settings" Target="settings.xml"/><Relationship Id="rId10" Type="http://schemas.openxmlformats.org/officeDocument/2006/relationships/hyperlink" Target="https://www.unep.org/topics/environmental-law-and-governance" TargetMode="External"/><Relationship Id="rId4" Type="http://schemas.openxmlformats.org/officeDocument/2006/relationships/styles" Target="styles.xml"/><Relationship Id="rId9" Type="http://schemas.openxmlformats.org/officeDocument/2006/relationships/hyperlink" Target="https://ei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DF16-5B60-4EA1-9586-CF2719CC31BA}">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D36CB146-F07B-4C98-9CFB-135608123518}">
  <ds:schemaRefs>
    <ds:schemaRef ds:uri="http://schemas.microsoft.com/sharepoint/v3/contenttype/forms"/>
  </ds:schemaRefs>
</ds:datastoreItem>
</file>

<file path=customXml/itemProps3.xml><?xml version="1.0" encoding="utf-8"?>
<ds:datastoreItem xmlns:ds="http://schemas.openxmlformats.org/officeDocument/2006/customXml" ds:itemID="{0553EED9-9CCC-44B9-ADC2-6982BC007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Younas (J6JW)</dc:creator>
  <cp:keywords/>
  <dc:description/>
  <cp:lastModifiedBy>Kiyah-Louise Lopez (S6SN)</cp:lastModifiedBy>
  <cp:revision>7</cp:revision>
  <dcterms:created xsi:type="dcterms:W3CDTF">2025-12-21T20:19:00Z</dcterms:created>
  <dcterms:modified xsi:type="dcterms:W3CDTF">2026-01-26T21:40:00Z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