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2E22" w14:textId="09927EDA" w:rsidR="00E33C95" w:rsidRPr="00EE49DD" w:rsidRDefault="00E33C95" w:rsidP="00E33C95">
      <w:pPr>
        <w:rPr>
          <w:rFonts w:ascii="Gill Sans MT" w:hAnsi="Gill Sans MT"/>
          <w:b/>
          <w:bCs/>
          <w:sz w:val="32"/>
          <w:szCs w:val="32"/>
        </w:rPr>
      </w:pPr>
      <w:r w:rsidRPr="00EE49DD">
        <w:rPr>
          <w:rFonts w:ascii="Gill Sans MT" w:hAnsi="Gill Sans MT"/>
          <w:b/>
          <w:bCs/>
          <w:sz w:val="32"/>
          <w:szCs w:val="32"/>
        </w:rPr>
        <w:t>The Issue of Iran’s Nuclear Weapons Development and Compliance with Non-Proliferation Obligations</w:t>
      </w:r>
    </w:p>
    <w:p w14:paraId="607DB968" w14:textId="77777777" w:rsidR="00E33C95" w:rsidRPr="00EE49DD" w:rsidRDefault="00E33C95" w:rsidP="00E33C95">
      <w:pPr>
        <w:rPr>
          <w:rFonts w:ascii="Gill Sans MT" w:hAnsi="Gill Sans MT"/>
          <w:sz w:val="26"/>
          <w:szCs w:val="26"/>
        </w:rPr>
      </w:pPr>
      <w:r w:rsidRPr="00EE49DD">
        <w:rPr>
          <w:rFonts w:ascii="Gill Sans MT" w:hAnsi="Gill Sans MT"/>
          <w:sz w:val="26"/>
          <w:szCs w:val="26"/>
        </w:rPr>
        <w:t xml:space="preserve">Iran’s nuclear programme represents one of the most persistent and legally complex challenges to the international non-proliferation regime. While Iran maintains that its nuclear activities are exclusively peaceful, substantial evidence collected over more than two decades by the International Atomic Energy Agency (IAEA) indicates repeated violations of transparency obligations, undeclared nuclear activities, and systematic obstruction of international inspections. These actions have raised credible concerns that Iran has sought, and may continue to seek, the capability to develop nuclear weapons, placing it in potential breach of its international legal commitments under the Treaty on the Non-Proliferation of </w:t>
      </w:r>
      <w:proofErr w:type="gramStart"/>
      <w:r w:rsidRPr="00EE49DD">
        <w:rPr>
          <w:rFonts w:ascii="Gill Sans MT" w:hAnsi="Gill Sans MT"/>
          <w:sz w:val="26"/>
          <w:szCs w:val="26"/>
        </w:rPr>
        <w:t>Nuclear Weapons</w:t>
      </w:r>
      <w:proofErr w:type="gramEnd"/>
      <w:r w:rsidRPr="00EE49DD">
        <w:rPr>
          <w:rFonts w:ascii="Gill Sans MT" w:hAnsi="Gill Sans MT"/>
          <w:sz w:val="26"/>
          <w:szCs w:val="26"/>
        </w:rPr>
        <w:t xml:space="preserve"> (NPT).</w:t>
      </w:r>
    </w:p>
    <w:p w14:paraId="523EB029" w14:textId="77777777" w:rsidR="00E33C95" w:rsidRPr="00EE49DD" w:rsidRDefault="00E33C95" w:rsidP="00E33C95">
      <w:pPr>
        <w:rPr>
          <w:rFonts w:ascii="Gill Sans MT" w:hAnsi="Gill Sans MT"/>
          <w:sz w:val="26"/>
          <w:szCs w:val="26"/>
        </w:rPr>
      </w:pPr>
      <w:r w:rsidRPr="00EE49DD">
        <w:rPr>
          <w:rFonts w:ascii="Gill Sans MT" w:hAnsi="Gill Sans MT"/>
          <w:sz w:val="26"/>
          <w:szCs w:val="26"/>
        </w:rPr>
        <w:t xml:space="preserve">Iran acceded to the NPT in 1970 as a non-nuclear-weapon state, thereby committing itself not to acquire or manufacture nuclear weapons and to place all nuclear material under IAEA safeguards. Despite these obligations, in 2002 previously undisclosed nuclear facilities at Natanz and Arak were revealed, prompting an extensive IAEA investigation. Subsequent inspections identified multiple failures by Iran to declare nuclear material and activities, including uranium enrichment experiments and the separation of plutonium, in violation of its </w:t>
      </w:r>
      <w:proofErr w:type="gramStart"/>
      <w:r w:rsidRPr="00EE49DD">
        <w:rPr>
          <w:rFonts w:ascii="Gill Sans MT" w:hAnsi="Gill Sans MT"/>
          <w:sz w:val="26"/>
          <w:szCs w:val="26"/>
        </w:rPr>
        <w:t>safeguards</w:t>
      </w:r>
      <w:proofErr w:type="gramEnd"/>
      <w:r w:rsidRPr="00EE49DD">
        <w:rPr>
          <w:rFonts w:ascii="Gill Sans MT" w:hAnsi="Gill Sans MT"/>
          <w:sz w:val="26"/>
          <w:szCs w:val="26"/>
        </w:rPr>
        <w:t xml:space="preserve"> agreement. Although Iran cooperated intermittently with inspectors, this cooperation has repeatedly broken down, particularly during periods of heightened political tension.</w:t>
      </w:r>
    </w:p>
    <w:p w14:paraId="49F8E584" w14:textId="77777777" w:rsidR="00E33C95" w:rsidRPr="00EE49DD" w:rsidRDefault="00E33C95" w:rsidP="00E33C95">
      <w:pPr>
        <w:rPr>
          <w:rFonts w:ascii="Gill Sans MT" w:hAnsi="Gill Sans MT"/>
          <w:sz w:val="26"/>
          <w:szCs w:val="26"/>
        </w:rPr>
      </w:pPr>
      <w:r w:rsidRPr="00EE49DD">
        <w:rPr>
          <w:rFonts w:ascii="Gill Sans MT" w:hAnsi="Gill Sans MT"/>
          <w:sz w:val="26"/>
          <w:szCs w:val="26"/>
        </w:rPr>
        <w:t>Concerns over the potential military dimensions of Iran’s nuclear programme intensified following IAEA findings that Iran had conducted activities consistent with weapons design, including work on high-explosive testing, neutron initiators, and missile re-entry vehicle integration. While Iran denies these allegations, the IAEA reported in 2011 that it had “credible” information indicating a coordinated effort related to nuclear weapons development prior to 2003, with some activities continuing thereafter. Iran’s refusal to provide full explanations or access to key sites and personnel has prevented the Agency from resolving these concerns conclusively.</w:t>
      </w:r>
    </w:p>
    <w:p w14:paraId="6C89E3E0" w14:textId="77777777" w:rsidR="00E33C95" w:rsidRPr="00EE49DD" w:rsidRDefault="00E33C95" w:rsidP="00E33C95">
      <w:pPr>
        <w:rPr>
          <w:rFonts w:ascii="Gill Sans MT" w:hAnsi="Gill Sans MT"/>
          <w:sz w:val="26"/>
          <w:szCs w:val="26"/>
        </w:rPr>
      </w:pPr>
      <w:r w:rsidRPr="00EE49DD">
        <w:rPr>
          <w:rFonts w:ascii="Gill Sans MT" w:hAnsi="Gill Sans MT"/>
          <w:sz w:val="26"/>
          <w:szCs w:val="26"/>
        </w:rPr>
        <w:t xml:space="preserve">In response to mounting international pressure, the Joint Comprehensive Plan of Action (JCPOA) was agreed in 2015 between Iran and the P5+1 states. The agreement imposed strict limitations on uranium enrichment levels, stockpile sizes, centrifuge numbers, and heavy water production, alongside an enhanced inspection regime. In exchange, nuclear-related sanctions were lifted. IAEA reports between 2016 and 2018 consistently verified Iran’s compliance with the JCPOA’s core nuclear restrictions. However, the unilateral withdrawal of the United States from the </w:t>
      </w:r>
      <w:r w:rsidRPr="00EE49DD">
        <w:rPr>
          <w:rFonts w:ascii="Gill Sans MT" w:hAnsi="Gill Sans MT"/>
          <w:sz w:val="26"/>
          <w:szCs w:val="26"/>
        </w:rPr>
        <w:lastRenderedPageBreak/>
        <w:t>agreement in 2018 and the subsequent reimposition of sanctions significantly undermined the deal.</w:t>
      </w:r>
    </w:p>
    <w:p w14:paraId="00F7E9F0" w14:textId="77777777" w:rsidR="00E33C95" w:rsidRPr="00EE49DD" w:rsidRDefault="00E33C95" w:rsidP="00E33C95">
      <w:pPr>
        <w:rPr>
          <w:rFonts w:ascii="Gill Sans MT" w:hAnsi="Gill Sans MT"/>
          <w:sz w:val="26"/>
          <w:szCs w:val="26"/>
        </w:rPr>
      </w:pPr>
      <w:r w:rsidRPr="00EE49DD">
        <w:rPr>
          <w:rFonts w:ascii="Gill Sans MT" w:hAnsi="Gill Sans MT"/>
          <w:sz w:val="26"/>
          <w:szCs w:val="26"/>
        </w:rPr>
        <w:t>Following the collapse of the JCPOA framework, Iran progressively reduced its compliance with nuclear restrictions. It began enriching uranium beyond the JCPOA limit of 3.67 percent, reaching levels of up to 60 percent purity—far closer to weapons-grade uranium than required for civilian energy use. Iran also expanded its stockpile of enriched uranium well beyond agreed thresholds and installed advanced centrifuges capable of accelerating enrichment timelines. According to IAEA assessments, these actions have significantly shortened Iran’s so-called “breakout time,” increasing concerns that Iran could produce sufficient fissile material for a nuclear weapon within a matter of weeks.</w:t>
      </w:r>
    </w:p>
    <w:p w14:paraId="41D63C7B" w14:textId="77777777" w:rsidR="00E33C95" w:rsidRPr="00EE49DD" w:rsidRDefault="00E33C95" w:rsidP="00E33C95">
      <w:pPr>
        <w:rPr>
          <w:rFonts w:ascii="Gill Sans MT" w:hAnsi="Gill Sans MT"/>
          <w:sz w:val="26"/>
          <w:szCs w:val="26"/>
        </w:rPr>
      </w:pPr>
      <w:r w:rsidRPr="00EE49DD">
        <w:rPr>
          <w:rFonts w:ascii="Gill Sans MT" w:hAnsi="Gill Sans MT"/>
          <w:sz w:val="26"/>
          <w:szCs w:val="26"/>
        </w:rPr>
        <w:t>Iran’s cooperation with the IAEA has further deteriorated in recent years. Surveillance cameras installed under the JCPOA were removed, access to key sites was restricted, and inspectors were barred from reviewing data necessary to verify Iran’s declarations. The IAEA has repeatedly stated that it cannot provide assurance that Iran’s nuclear programme is exclusively peaceful due to unresolved questions regarding undeclared nuclear material found at multiple sites. This lack of transparency constitutes a serious challenge to the integrity of the global safeguards system.</w:t>
      </w:r>
    </w:p>
    <w:p w14:paraId="0727C588" w14:textId="77777777" w:rsidR="00E33C95" w:rsidRPr="00EE49DD" w:rsidRDefault="00E33C95" w:rsidP="00E33C95">
      <w:pPr>
        <w:rPr>
          <w:rFonts w:ascii="Gill Sans MT" w:hAnsi="Gill Sans MT"/>
          <w:sz w:val="26"/>
          <w:szCs w:val="26"/>
        </w:rPr>
      </w:pPr>
      <w:r w:rsidRPr="00EE49DD">
        <w:rPr>
          <w:rFonts w:ascii="Gill Sans MT" w:hAnsi="Gill Sans MT"/>
          <w:sz w:val="26"/>
          <w:szCs w:val="26"/>
        </w:rPr>
        <w:t>In 2025, the confrontation between Israel and Iran over Iran’s nuclear programme escalated through Israeli-initiated military strikes on Iranian territory, shifting the dispute decisively from diplomacy and verification into open armed conflict. Israel carried out air and missile attacks against sites inside Iran, including locations assessed to be connected to military or nuclear-related infrastructure. These strikes followed years of Israeli threats and covert actions and were explicitly justified by Israel as a preventative response to Iran’s nuclear development, despite the absence of an active nuclear weapons attack by Iran.</w:t>
      </w:r>
    </w:p>
    <w:p w14:paraId="544C8CAD" w14:textId="3A58C84D" w:rsidR="00E33C95" w:rsidRPr="00EE49DD" w:rsidRDefault="00E33C95" w:rsidP="00E33C95">
      <w:pPr>
        <w:rPr>
          <w:rFonts w:ascii="Gill Sans MT" w:hAnsi="Gill Sans MT"/>
          <w:sz w:val="26"/>
          <w:szCs w:val="26"/>
        </w:rPr>
      </w:pPr>
      <w:r w:rsidRPr="00EE49DD">
        <w:rPr>
          <w:rFonts w:ascii="Gill Sans MT" w:hAnsi="Gill Sans MT"/>
          <w:sz w:val="26"/>
          <w:szCs w:val="26"/>
        </w:rPr>
        <w:t xml:space="preserve">Iran’s subsequent missile and drone </w:t>
      </w:r>
      <w:proofErr w:type="gramStart"/>
      <w:r w:rsidRPr="00EE49DD">
        <w:rPr>
          <w:rFonts w:ascii="Gill Sans MT" w:hAnsi="Gill Sans MT"/>
          <w:sz w:val="26"/>
          <w:szCs w:val="26"/>
        </w:rPr>
        <w:t>strikes</w:t>
      </w:r>
      <w:proofErr w:type="gramEnd"/>
      <w:r w:rsidRPr="00EE49DD">
        <w:rPr>
          <w:rFonts w:ascii="Gill Sans MT" w:hAnsi="Gill Sans MT"/>
          <w:sz w:val="26"/>
          <w:szCs w:val="26"/>
        </w:rPr>
        <w:t xml:space="preserve"> against Israeli targets were framed by Iranian authorities as retaliatory self-defence in response to violations of Iranian sovereignty and the use of force against its territory. Iranian statements consistently linked their response to Israel’s attacks on nuclear-related sites, emphasizing deterrence rather than initiation. This sequence of events marked one of the clearest instances in which the nuclear dispute directly triggered reciprocal interstate violence.</w:t>
      </w:r>
    </w:p>
    <w:p w14:paraId="52DB1F8A" w14:textId="77777777" w:rsidR="00E33C95" w:rsidRPr="00EE49DD" w:rsidRDefault="00E33C95" w:rsidP="00E33C95">
      <w:pPr>
        <w:rPr>
          <w:rFonts w:ascii="Gill Sans MT" w:hAnsi="Gill Sans MT"/>
          <w:sz w:val="26"/>
          <w:szCs w:val="26"/>
        </w:rPr>
      </w:pPr>
      <w:r w:rsidRPr="00EE49DD">
        <w:rPr>
          <w:rFonts w:ascii="Gill Sans MT" w:hAnsi="Gill Sans MT"/>
          <w:sz w:val="26"/>
          <w:szCs w:val="26"/>
        </w:rPr>
        <w:t xml:space="preserve">The legal and security implications of Iran’s nuclear activities extend beyond the state itself. A nuclear-armed Iran, or one perceived as being on the threshold of acquiring nuclear weapons, risks triggering regional proliferation, particularly in the Middle </w:t>
      </w:r>
      <w:r w:rsidRPr="00EE49DD">
        <w:rPr>
          <w:rFonts w:ascii="Gill Sans MT" w:hAnsi="Gill Sans MT"/>
          <w:sz w:val="26"/>
          <w:szCs w:val="26"/>
        </w:rPr>
        <w:lastRenderedPageBreak/>
        <w:t>East, where several states have indicated they may pursue their own nuclear capabilities in response. This would undermine the NPT’s core objective of preventing the spread of nuclear weapons and increase the likelihood of nuclear escalation in an already volatile region.</w:t>
      </w:r>
    </w:p>
    <w:p w14:paraId="3B55C2CE" w14:textId="77777777" w:rsidR="00E33C95" w:rsidRPr="00EE49DD" w:rsidRDefault="00E33C95" w:rsidP="00E33C95">
      <w:pPr>
        <w:rPr>
          <w:rFonts w:ascii="Gill Sans MT" w:hAnsi="Gill Sans MT"/>
          <w:sz w:val="26"/>
          <w:szCs w:val="26"/>
        </w:rPr>
      </w:pPr>
      <w:r w:rsidRPr="00EE49DD">
        <w:rPr>
          <w:rFonts w:ascii="Gill Sans MT" w:hAnsi="Gill Sans MT"/>
          <w:sz w:val="26"/>
          <w:szCs w:val="26"/>
        </w:rPr>
        <w:t>International responses have included United Nations Security Council resolutions imposing sanctions, diplomatic negotiations aimed at restoring compliance, and ongoing IAEA monitoring efforts. However, enforcement mechanisms remain limited, particularly in the absence of consensus among major powers. Iran has argued that its actions are lawful responses to sanctions and treaty violations by other states, raising complex questions about reciprocity, proportionality, and state responsibility under international law.</w:t>
      </w:r>
    </w:p>
    <w:p w14:paraId="641F3239" w14:textId="5C2183A3" w:rsidR="00E33C95" w:rsidRDefault="00E33C95" w:rsidP="00E33C95">
      <w:pPr>
        <w:rPr>
          <w:rFonts w:ascii="Gill Sans MT" w:hAnsi="Gill Sans MT"/>
          <w:sz w:val="26"/>
          <w:szCs w:val="26"/>
        </w:rPr>
      </w:pPr>
      <w:r w:rsidRPr="00EE49DD">
        <w:rPr>
          <w:rFonts w:ascii="Gill Sans MT" w:hAnsi="Gill Sans MT"/>
          <w:sz w:val="26"/>
          <w:szCs w:val="26"/>
        </w:rPr>
        <w:t>The issue of Iran’s nuclear programme therefore sits at the intersection of non-proliferation law, international security, and enforcement credibility. The situation highlights the broader difficulty of ensuring compliance with non-proliferation obligations in the absence of robust, enforceable accountability mechanisms.</w:t>
      </w:r>
    </w:p>
    <w:p w14:paraId="3FD8B33B" w14:textId="77777777" w:rsidR="00EE49DD" w:rsidRPr="00EE49DD" w:rsidRDefault="00EE49DD" w:rsidP="00E33C95">
      <w:pPr>
        <w:rPr>
          <w:rFonts w:ascii="Gill Sans MT" w:hAnsi="Gill Sans MT"/>
          <w:sz w:val="26"/>
          <w:szCs w:val="26"/>
        </w:rPr>
      </w:pPr>
    </w:p>
    <w:p w14:paraId="6C7D05A8" w14:textId="534B1575" w:rsidR="00E33C95" w:rsidRPr="00EE49DD" w:rsidRDefault="00E33C95">
      <w:pPr>
        <w:rPr>
          <w:rFonts w:ascii="Gill Sans MT" w:hAnsi="Gill Sans MT"/>
          <w:b/>
          <w:bCs/>
          <w:sz w:val="26"/>
          <w:szCs w:val="26"/>
        </w:rPr>
      </w:pPr>
      <w:r w:rsidRPr="00EE49DD">
        <w:rPr>
          <w:rFonts w:ascii="Gill Sans MT" w:hAnsi="Gill Sans MT"/>
          <w:b/>
          <w:bCs/>
          <w:sz w:val="26"/>
          <w:szCs w:val="26"/>
        </w:rPr>
        <w:t xml:space="preserve">Points to </w:t>
      </w:r>
      <w:r w:rsidR="00EE49DD">
        <w:rPr>
          <w:rFonts w:ascii="Gill Sans MT" w:hAnsi="Gill Sans MT"/>
          <w:b/>
          <w:bCs/>
          <w:sz w:val="26"/>
          <w:szCs w:val="26"/>
        </w:rPr>
        <w:t>C</w:t>
      </w:r>
      <w:r w:rsidRPr="00EE49DD">
        <w:rPr>
          <w:rFonts w:ascii="Gill Sans MT" w:hAnsi="Gill Sans MT"/>
          <w:b/>
          <w:bCs/>
          <w:sz w:val="26"/>
          <w:szCs w:val="26"/>
        </w:rPr>
        <w:t>onsider:</w:t>
      </w:r>
    </w:p>
    <w:p w14:paraId="7C0CDB5F" w14:textId="77777777" w:rsidR="00E33C95" w:rsidRPr="00EE49DD" w:rsidRDefault="00E33C95" w:rsidP="00EE49DD">
      <w:pPr>
        <w:pStyle w:val="ListParagraph"/>
        <w:numPr>
          <w:ilvl w:val="0"/>
          <w:numId w:val="2"/>
        </w:numPr>
        <w:rPr>
          <w:rFonts w:ascii="Gill Sans MT" w:hAnsi="Gill Sans MT"/>
          <w:sz w:val="26"/>
          <w:szCs w:val="26"/>
        </w:rPr>
      </w:pPr>
      <w:r w:rsidRPr="00EE49DD">
        <w:rPr>
          <w:rFonts w:ascii="Gill Sans MT" w:hAnsi="Gill Sans MT"/>
          <w:sz w:val="26"/>
          <w:szCs w:val="26"/>
        </w:rPr>
        <w:t>How can the international community strengthen IAEA inspections and verification mechanisms to ensure Iran’s compliance with non-proliferation obligations?</w:t>
      </w:r>
    </w:p>
    <w:p w14:paraId="4337E2D4" w14:textId="45CD9379" w:rsidR="00E33C95" w:rsidRPr="00EE49DD" w:rsidRDefault="00E33C95" w:rsidP="00EE49DD">
      <w:pPr>
        <w:pStyle w:val="ListParagraph"/>
        <w:numPr>
          <w:ilvl w:val="0"/>
          <w:numId w:val="2"/>
        </w:numPr>
        <w:rPr>
          <w:rFonts w:ascii="Gill Sans MT" w:hAnsi="Gill Sans MT"/>
          <w:sz w:val="26"/>
          <w:szCs w:val="26"/>
        </w:rPr>
      </w:pPr>
      <w:r w:rsidRPr="00EE49DD">
        <w:rPr>
          <w:rFonts w:ascii="Gill Sans MT" w:hAnsi="Gill Sans MT"/>
          <w:sz w:val="26"/>
          <w:szCs w:val="26"/>
        </w:rPr>
        <w:t>What legal and diplomatic measures can be pursued to prevent further unilateral military strikes that risk escalation in the Israel-Iran conflict?</w:t>
      </w:r>
    </w:p>
    <w:p w14:paraId="5205C298" w14:textId="0354DCEA" w:rsidR="00E33C95" w:rsidRPr="00EE49DD" w:rsidRDefault="00E33C95" w:rsidP="00EE49DD">
      <w:pPr>
        <w:pStyle w:val="ListParagraph"/>
        <w:numPr>
          <w:ilvl w:val="0"/>
          <w:numId w:val="2"/>
        </w:numPr>
        <w:rPr>
          <w:rFonts w:ascii="Gill Sans MT" w:hAnsi="Gill Sans MT"/>
          <w:sz w:val="26"/>
          <w:szCs w:val="26"/>
        </w:rPr>
      </w:pPr>
      <w:r w:rsidRPr="00EE49DD">
        <w:rPr>
          <w:rFonts w:ascii="Gill Sans MT" w:hAnsi="Gill Sans MT"/>
          <w:sz w:val="26"/>
          <w:szCs w:val="26"/>
        </w:rPr>
        <w:t>Should there be targeted sanctions against Iranian entities involved in nuclear weapons development, and what impact might these have on civilian populations?</w:t>
      </w:r>
    </w:p>
    <w:p w14:paraId="42072A6B" w14:textId="351F5501" w:rsidR="00E33C95" w:rsidRPr="00EE49DD" w:rsidRDefault="00E33C95" w:rsidP="00EE49DD">
      <w:pPr>
        <w:pStyle w:val="ListParagraph"/>
        <w:numPr>
          <w:ilvl w:val="0"/>
          <w:numId w:val="2"/>
        </w:numPr>
        <w:rPr>
          <w:rFonts w:ascii="Gill Sans MT" w:hAnsi="Gill Sans MT"/>
          <w:sz w:val="26"/>
          <w:szCs w:val="26"/>
        </w:rPr>
      </w:pPr>
      <w:r w:rsidRPr="00EE49DD">
        <w:rPr>
          <w:rFonts w:ascii="Gill Sans MT" w:hAnsi="Gill Sans MT"/>
          <w:sz w:val="26"/>
          <w:szCs w:val="26"/>
        </w:rPr>
        <w:t>How can the JCPOA or a successor framework be reinstated or revised to address both enrichment limits and security guarantees?</w:t>
      </w:r>
    </w:p>
    <w:p w14:paraId="482A8C70" w14:textId="16875BD1" w:rsidR="00EE49DD" w:rsidRDefault="00E33C95" w:rsidP="00EE49DD">
      <w:pPr>
        <w:pStyle w:val="ListParagraph"/>
        <w:numPr>
          <w:ilvl w:val="0"/>
          <w:numId w:val="2"/>
        </w:numPr>
        <w:rPr>
          <w:rFonts w:ascii="Gill Sans MT" w:hAnsi="Gill Sans MT"/>
          <w:sz w:val="26"/>
          <w:szCs w:val="26"/>
        </w:rPr>
      </w:pPr>
      <w:r w:rsidRPr="00EE49DD">
        <w:rPr>
          <w:rFonts w:ascii="Gill Sans MT" w:hAnsi="Gill Sans MT"/>
          <w:sz w:val="26"/>
          <w:szCs w:val="26"/>
        </w:rPr>
        <w:t>What role should other regional actors and nuclear-armed states play in mediating or enforcing non-proliferation compliance?</w:t>
      </w:r>
    </w:p>
    <w:p w14:paraId="098F1F97" w14:textId="77777777" w:rsidR="00EE49DD" w:rsidRPr="00EE49DD" w:rsidRDefault="00EE49DD" w:rsidP="00EE49DD">
      <w:pPr>
        <w:pStyle w:val="ListParagraph"/>
        <w:rPr>
          <w:rFonts w:ascii="Gill Sans MT" w:hAnsi="Gill Sans MT"/>
          <w:sz w:val="26"/>
          <w:szCs w:val="26"/>
        </w:rPr>
      </w:pPr>
    </w:p>
    <w:p w14:paraId="5A239DAC" w14:textId="5C7A3926" w:rsidR="00E33C95" w:rsidRPr="00EE49DD" w:rsidRDefault="00EE49DD" w:rsidP="00EE49DD">
      <w:pPr>
        <w:rPr>
          <w:rFonts w:ascii="Gill Sans MT" w:hAnsi="Gill Sans MT"/>
          <w:b/>
          <w:bCs/>
          <w:sz w:val="26"/>
          <w:szCs w:val="26"/>
        </w:rPr>
      </w:pPr>
      <w:r w:rsidRPr="00EE49DD">
        <w:rPr>
          <w:rFonts w:ascii="Gill Sans MT" w:hAnsi="Gill Sans MT"/>
          <w:b/>
          <w:bCs/>
          <w:sz w:val="26"/>
          <w:szCs w:val="26"/>
        </w:rPr>
        <w:t>Relevant Resources</w:t>
      </w:r>
      <w:r w:rsidR="00E33C95" w:rsidRPr="00EE49DD">
        <w:rPr>
          <w:rFonts w:ascii="Gill Sans MT" w:hAnsi="Gill Sans MT"/>
          <w:b/>
          <w:bCs/>
          <w:sz w:val="26"/>
          <w:szCs w:val="26"/>
        </w:rPr>
        <w:t>:</w:t>
      </w:r>
    </w:p>
    <w:p w14:paraId="267C8EEF" w14:textId="068D6ECC" w:rsidR="00E33C95" w:rsidRPr="00EE49DD" w:rsidRDefault="00E33C95" w:rsidP="00EE49DD">
      <w:pPr>
        <w:pStyle w:val="ListParagraph"/>
        <w:numPr>
          <w:ilvl w:val="0"/>
          <w:numId w:val="3"/>
        </w:numPr>
        <w:rPr>
          <w:rFonts w:ascii="Gill Sans MT" w:hAnsi="Gill Sans MT"/>
          <w:sz w:val="26"/>
          <w:szCs w:val="26"/>
        </w:rPr>
      </w:pPr>
      <w:hyperlink r:id="rId8" w:history="1">
        <w:r w:rsidRPr="00EE49DD">
          <w:rPr>
            <w:rStyle w:val="Hyperlink"/>
            <w:rFonts w:ascii="Gill Sans MT" w:hAnsi="Gill Sans MT"/>
            <w:sz w:val="26"/>
            <w:szCs w:val="26"/>
          </w:rPr>
          <w:t>https://news.un.org/en/story/2025/06/1164291</w:t>
        </w:r>
      </w:hyperlink>
      <w:r w:rsidRPr="00EE49DD">
        <w:rPr>
          <w:rFonts w:ascii="Gill Sans MT" w:hAnsi="Gill Sans MT"/>
          <w:sz w:val="26"/>
          <w:szCs w:val="26"/>
        </w:rPr>
        <w:t xml:space="preserve"> - UN </w:t>
      </w:r>
      <w:r w:rsidR="00C323B3" w:rsidRPr="00EE49DD">
        <w:rPr>
          <w:rFonts w:ascii="Gill Sans MT" w:hAnsi="Gill Sans MT"/>
          <w:sz w:val="26"/>
          <w:szCs w:val="26"/>
        </w:rPr>
        <w:t xml:space="preserve">viewing how Iran is </w:t>
      </w:r>
      <w:proofErr w:type="gramStart"/>
      <w:r w:rsidR="00C323B3" w:rsidRPr="00EE49DD">
        <w:rPr>
          <w:rFonts w:ascii="Gill Sans MT" w:hAnsi="Gill Sans MT"/>
          <w:sz w:val="26"/>
          <w:szCs w:val="26"/>
        </w:rPr>
        <w:t>no</w:t>
      </w:r>
      <w:proofErr w:type="gramEnd"/>
      <w:r w:rsidR="00C323B3" w:rsidRPr="00EE49DD">
        <w:rPr>
          <w:rFonts w:ascii="Gill Sans MT" w:hAnsi="Gill Sans MT"/>
          <w:sz w:val="26"/>
          <w:szCs w:val="26"/>
        </w:rPr>
        <w:t xml:space="preserve"> long complicit with international regulations.</w:t>
      </w:r>
    </w:p>
    <w:p w14:paraId="0516154B" w14:textId="68423DD6" w:rsidR="00C323B3" w:rsidRPr="00EE49DD" w:rsidRDefault="00C323B3" w:rsidP="00EE49DD">
      <w:pPr>
        <w:pStyle w:val="ListParagraph"/>
        <w:numPr>
          <w:ilvl w:val="0"/>
          <w:numId w:val="3"/>
        </w:numPr>
        <w:rPr>
          <w:rFonts w:ascii="Gill Sans MT" w:hAnsi="Gill Sans MT"/>
          <w:sz w:val="26"/>
          <w:szCs w:val="26"/>
        </w:rPr>
      </w:pPr>
      <w:hyperlink r:id="rId9" w:history="1">
        <w:r w:rsidRPr="00EE49DD">
          <w:rPr>
            <w:rStyle w:val="Hyperlink"/>
            <w:rFonts w:ascii="Gill Sans MT" w:hAnsi="Gill Sans MT"/>
            <w:sz w:val="26"/>
            <w:szCs w:val="26"/>
          </w:rPr>
          <w:t>https://www.gov.uk/government/speeches/npt-safeguards-agreement-with-iran-resolution-to-the-iaea-board-of-governors-june-2025</w:t>
        </w:r>
      </w:hyperlink>
      <w:r w:rsidRPr="00EE49DD">
        <w:rPr>
          <w:rFonts w:ascii="Gill Sans MT" w:hAnsi="Gill Sans MT"/>
          <w:sz w:val="26"/>
          <w:szCs w:val="26"/>
        </w:rPr>
        <w:t xml:space="preserve"> - UK resolution to issue</w:t>
      </w:r>
    </w:p>
    <w:p w14:paraId="70D94AD1" w14:textId="21A1A654" w:rsidR="00C323B3" w:rsidRPr="00EE49DD" w:rsidRDefault="00C323B3" w:rsidP="00EE49DD">
      <w:pPr>
        <w:pStyle w:val="ListParagraph"/>
        <w:numPr>
          <w:ilvl w:val="0"/>
          <w:numId w:val="3"/>
        </w:numPr>
        <w:rPr>
          <w:rFonts w:ascii="Gill Sans MT" w:hAnsi="Gill Sans MT"/>
          <w:sz w:val="26"/>
          <w:szCs w:val="26"/>
        </w:rPr>
      </w:pPr>
      <w:hyperlink r:id="rId10" w:history="1">
        <w:r w:rsidRPr="00EE49DD">
          <w:rPr>
            <w:rStyle w:val="Hyperlink"/>
            <w:rFonts w:ascii="Gill Sans MT" w:hAnsi="Gill Sans MT"/>
            <w:sz w:val="26"/>
            <w:szCs w:val="26"/>
          </w:rPr>
          <w:t>https://www.reuters.com/world/china/iaea-board-declares-iran-breach-non-proliferation-duties-diplomats-say-2025-06-12/</w:t>
        </w:r>
      </w:hyperlink>
      <w:r w:rsidRPr="00EE49DD">
        <w:rPr>
          <w:rFonts w:ascii="Gill Sans MT" w:hAnsi="Gill Sans MT"/>
          <w:sz w:val="26"/>
          <w:szCs w:val="26"/>
        </w:rPr>
        <w:t xml:space="preserve"> - Outline of how Iran is in breach of obligations</w:t>
      </w:r>
    </w:p>
    <w:sectPr w:rsidR="00C323B3" w:rsidRPr="00EE49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E6CF5"/>
    <w:multiLevelType w:val="hybridMultilevel"/>
    <w:tmpl w:val="58226DD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6A570EC"/>
    <w:multiLevelType w:val="hybridMultilevel"/>
    <w:tmpl w:val="683AE98C"/>
    <w:lvl w:ilvl="0" w:tplc="13FE5252">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006373"/>
    <w:multiLevelType w:val="hybridMultilevel"/>
    <w:tmpl w:val="D826B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97758">
    <w:abstractNumId w:val="1"/>
  </w:num>
  <w:num w:numId="2" w16cid:durableId="1190141367">
    <w:abstractNumId w:val="0"/>
  </w:num>
  <w:num w:numId="3" w16cid:durableId="445462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95"/>
    <w:rsid w:val="002F1E8A"/>
    <w:rsid w:val="00651C81"/>
    <w:rsid w:val="00656292"/>
    <w:rsid w:val="00C323B3"/>
    <w:rsid w:val="00D207FD"/>
    <w:rsid w:val="00E33C95"/>
    <w:rsid w:val="00EE4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65C"/>
  <w15:chartTrackingRefBased/>
  <w15:docId w15:val="{EE961240-C8C2-4D80-BCED-BB1094C4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95"/>
  </w:style>
  <w:style w:type="paragraph" w:styleId="Heading1">
    <w:name w:val="heading 1"/>
    <w:basedOn w:val="Normal"/>
    <w:next w:val="Normal"/>
    <w:link w:val="Heading1Char"/>
    <w:uiPriority w:val="9"/>
    <w:qFormat/>
    <w:rsid w:val="00E33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C95"/>
    <w:rPr>
      <w:rFonts w:eastAsiaTheme="majorEastAsia" w:cstheme="majorBidi"/>
      <w:color w:val="272727" w:themeColor="text1" w:themeTint="D8"/>
    </w:rPr>
  </w:style>
  <w:style w:type="paragraph" w:styleId="Title">
    <w:name w:val="Title"/>
    <w:basedOn w:val="Normal"/>
    <w:next w:val="Normal"/>
    <w:link w:val="TitleChar"/>
    <w:uiPriority w:val="10"/>
    <w:qFormat/>
    <w:rsid w:val="00E33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C95"/>
    <w:pPr>
      <w:spacing w:before="160"/>
      <w:jc w:val="center"/>
    </w:pPr>
    <w:rPr>
      <w:i/>
      <w:iCs/>
      <w:color w:val="404040" w:themeColor="text1" w:themeTint="BF"/>
    </w:rPr>
  </w:style>
  <w:style w:type="character" w:customStyle="1" w:styleId="QuoteChar">
    <w:name w:val="Quote Char"/>
    <w:basedOn w:val="DefaultParagraphFont"/>
    <w:link w:val="Quote"/>
    <w:uiPriority w:val="29"/>
    <w:rsid w:val="00E33C95"/>
    <w:rPr>
      <w:i/>
      <w:iCs/>
      <w:color w:val="404040" w:themeColor="text1" w:themeTint="BF"/>
    </w:rPr>
  </w:style>
  <w:style w:type="paragraph" w:styleId="ListParagraph">
    <w:name w:val="List Paragraph"/>
    <w:basedOn w:val="Normal"/>
    <w:uiPriority w:val="34"/>
    <w:qFormat/>
    <w:rsid w:val="00E33C95"/>
    <w:pPr>
      <w:ind w:left="720"/>
      <w:contextualSpacing/>
    </w:pPr>
  </w:style>
  <w:style w:type="character" w:styleId="IntenseEmphasis">
    <w:name w:val="Intense Emphasis"/>
    <w:basedOn w:val="DefaultParagraphFont"/>
    <w:uiPriority w:val="21"/>
    <w:qFormat/>
    <w:rsid w:val="00E33C95"/>
    <w:rPr>
      <w:i/>
      <w:iCs/>
      <w:color w:val="0F4761" w:themeColor="accent1" w:themeShade="BF"/>
    </w:rPr>
  </w:style>
  <w:style w:type="paragraph" w:styleId="IntenseQuote">
    <w:name w:val="Intense Quote"/>
    <w:basedOn w:val="Normal"/>
    <w:next w:val="Normal"/>
    <w:link w:val="IntenseQuoteChar"/>
    <w:uiPriority w:val="30"/>
    <w:qFormat/>
    <w:rsid w:val="00E33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C95"/>
    <w:rPr>
      <w:i/>
      <w:iCs/>
      <w:color w:val="0F4761" w:themeColor="accent1" w:themeShade="BF"/>
    </w:rPr>
  </w:style>
  <w:style w:type="character" w:styleId="IntenseReference">
    <w:name w:val="Intense Reference"/>
    <w:basedOn w:val="DefaultParagraphFont"/>
    <w:uiPriority w:val="32"/>
    <w:qFormat/>
    <w:rsid w:val="00E33C95"/>
    <w:rPr>
      <w:b/>
      <w:bCs/>
      <w:smallCaps/>
      <w:color w:val="0F4761" w:themeColor="accent1" w:themeShade="BF"/>
      <w:spacing w:val="5"/>
    </w:rPr>
  </w:style>
  <w:style w:type="character" w:styleId="Hyperlink">
    <w:name w:val="Hyperlink"/>
    <w:basedOn w:val="DefaultParagraphFont"/>
    <w:uiPriority w:val="99"/>
    <w:unhideWhenUsed/>
    <w:rsid w:val="00E33C95"/>
    <w:rPr>
      <w:color w:val="467886" w:themeColor="hyperlink"/>
      <w:u w:val="single"/>
    </w:rPr>
  </w:style>
  <w:style w:type="character" w:styleId="UnresolvedMention">
    <w:name w:val="Unresolved Mention"/>
    <w:basedOn w:val="DefaultParagraphFont"/>
    <w:uiPriority w:val="99"/>
    <w:semiHidden/>
    <w:unhideWhenUsed/>
    <w:rsid w:val="00E3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un.org/en/story/2025/06/116429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reuters.com/world/china/iaea-board-declares-iran-breach-non-proliferation-duties-diplomats-say-2025-06-12/" TargetMode="External"/><Relationship Id="rId4" Type="http://schemas.openxmlformats.org/officeDocument/2006/relationships/numbering" Target="numbering.xml"/><Relationship Id="rId9" Type="http://schemas.openxmlformats.org/officeDocument/2006/relationships/hyperlink" Target="https://www.gov.uk/government/speeches/npt-safeguards-agreement-with-iran-resolution-to-the-iaea-board-of-governors-june-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CAE924-557A-40B4-8CF5-29B9F5B99E00}">
  <ds:schemaRefs>
    <ds:schemaRef ds:uri="http://schemas.microsoft.com/office/2006/metadata/properties"/>
    <ds:schemaRef ds:uri="http://schemas.microsoft.com/office/infopath/2007/PartnerControls"/>
    <ds:schemaRef ds:uri="097f3379-bb41-4c9f-907e-05b05736320e"/>
    <ds:schemaRef ds:uri="c7cf3323-b876-4cf8-8941-d4c52aa16067"/>
  </ds:schemaRefs>
</ds:datastoreItem>
</file>

<file path=customXml/itemProps2.xml><?xml version="1.0" encoding="utf-8"?>
<ds:datastoreItem xmlns:ds="http://schemas.openxmlformats.org/officeDocument/2006/customXml" ds:itemID="{866FD068-2FB9-4326-9C16-2296E8C1BA24}">
  <ds:schemaRefs>
    <ds:schemaRef ds:uri="http://schemas.microsoft.com/sharepoint/v3/contenttype/forms"/>
  </ds:schemaRefs>
</ds:datastoreItem>
</file>

<file path=customXml/itemProps3.xml><?xml version="1.0" encoding="utf-8"?>
<ds:datastoreItem xmlns:ds="http://schemas.openxmlformats.org/officeDocument/2006/customXml" ds:itemID="{CA7806E0-33A6-43D5-ADEA-36D5E35EE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3323-b876-4cf8-8941-d4c52aa16067"/>
    <ds:schemaRef ds:uri="097f3379-bb41-4c9f-907e-05b05736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Sarrah Lukmanjee (S6PI)</dc:creator>
  <cp:keywords/>
  <dc:description/>
  <cp:lastModifiedBy>Kiyah-Louise Lopez (S6SN)</cp:lastModifiedBy>
  <cp:revision>3</cp:revision>
  <dcterms:created xsi:type="dcterms:W3CDTF">2025-12-21T21:01:00Z</dcterms:created>
  <dcterms:modified xsi:type="dcterms:W3CDTF">2026-01-26T21:11:00Z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y fmtid="{D5CDD505-2E9C-101B-9397-08002B2CF9AE}" pid="3" name="MediaServiceImageTags">
    <vt:lpwstr/>
  </property>
</Properties>
</file>