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147A1" w14:textId="359BC631" w:rsidR="0033661F" w:rsidRPr="00FA0BE5" w:rsidRDefault="00C24EC8">
      <w:pPr>
        <w:rPr>
          <w:rFonts w:ascii="Gill Sans MT" w:hAnsi="Gill Sans MT"/>
          <w:b/>
          <w:bCs/>
          <w:sz w:val="32"/>
          <w:szCs w:val="32"/>
        </w:rPr>
      </w:pPr>
      <w:r w:rsidRPr="00FA0BE5">
        <w:rPr>
          <w:rFonts w:ascii="Gill Sans MT" w:hAnsi="Gill Sans MT"/>
          <w:b/>
          <w:bCs/>
          <w:sz w:val="32"/>
          <w:szCs w:val="32"/>
        </w:rPr>
        <w:t>The Issue of Surveillance Technology and the Right to Privacy</w:t>
      </w:r>
    </w:p>
    <w:p w14:paraId="4613C84F" w14:textId="79C3B5BB" w:rsidR="00C24EC8" w:rsidRPr="00FA0BE5" w:rsidRDefault="00C24EC8">
      <w:pPr>
        <w:rPr>
          <w:rFonts w:ascii="Gill Sans MT" w:hAnsi="Gill Sans MT"/>
          <w:sz w:val="26"/>
          <w:szCs w:val="26"/>
        </w:rPr>
      </w:pPr>
      <w:r w:rsidRPr="00FA0BE5">
        <w:rPr>
          <w:rFonts w:ascii="Gill Sans MT" w:hAnsi="Gill Sans MT"/>
          <w:sz w:val="26"/>
          <w:szCs w:val="26"/>
        </w:rPr>
        <w:t>The first issue to consider about this issue is any invasion of personal privacy. Mass surveillance collects data on people who are not suspected of wrongdoing. Constant monitoring reduces individuals’ ability to live private and autonomous lives. Everyday activities (location, communications and online behaviour) are tracked without clear consent.</w:t>
      </w:r>
    </w:p>
    <w:p w14:paraId="31F39DCA" w14:textId="7D35EDE0" w:rsidR="00C24EC8" w:rsidRPr="00FA0BE5" w:rsidRDefault="00C24EC8">
      <w:pPr>
        <w:rPr>
          <w:rFonts w:ascii="Gill Sans MT" w:hAnsi="Gill Sans MT"/>
          <w:sz w:val="26"/>
          <w:szCs w:val="26"/>
        </w:rPr>
      </w:pPr>
      <w:r w:rsidRPr="00FA0BE5">
        <w:rPr>
          <w:rFonts w:ascii="Gill Sans MT" w:hAnsi="Gill Sans MT"/>
          <w:sz w:val="26"/>
          <w:szCs w:val="26"/>
        </w:rPr>
        <w:t>The second issue to think about is the lack of consent and transparency. People are often unaware they are being monitored. Surveillance systems operate with limited public oversight. Privacy policies are complex and difficult to understand.</w:t>
      </w:r>
    </w:p>
    <w:p w14:paraId="61586AF9" w14:textId="030FD9D7" w:rsidR="00C24EC8" w:rsidRPr="00FA0BE5" w:rsidRDefault="00C24EC8">
      <w:pPr>
        <w:rPr>
          <w:rFonts w:ascii="Gill Sans MT" w:hAnsi="Gill Sans MT"/>
          <w:sz w:val="26"/>
          <w:szCs w:val="26"/>
        </w:rPr>
      </w:pPr>
      <w:r w:rsidRPr="00FA0BE5">
        <w:rPr>
          <w:rFonts w:ascii="Gill Sans MT" w:hAnsi="Gill Sans MT"/>
          <w:sz w:val="26"/>
          <w:szCs w:val="26"/>
        </w:rPr>
        <w:t>The third issue is data misuse and abuse. Collected data may be used beyond its original purpose. There are risks of unauthorised access, leaking and hacking. Surveillance data can be exploited for political, commercial or personal gain.</w:t>
      </w:r>
    </w:p>
    <w:p w14:paraId="25171BA9" w14:textId="3ACCDA9E" w:rsidR="00C24EC8" w:rsidRPr="00FA0BE5" w:rsidRDefault="00C24EC8">
      <w:pPr>
        <w:rPr>
          <w:rFonts w:ascii="Gill Sans MT" w:hAnsi="Gill Sans MT"/>
          <w:sz w:val="26"/>
          <w:szCs w:val="26"/>
        </w:rPr>
      </w:pPr>
      <w:r w:rsidRPr="00FA0BE5">
        <w:rPr>
          <w:rFonts w:ascii="Gill Sans MT" w:hAnsi="Gill Sans MT"/>
          <w:sz w:val="26"/>
          <w:szCs w:val="26"/>
        </w:rPr>
        <w:t xml:space="preserve">The fourth issue to deliberate is weak legal and regulatory frameworks. Laws often </w:t>
      </w:r>
      <w:proofErr w:type="gramStart"/>
      <w:r w:rsidRPr="00FA0BE5">
        <w:rPr>
          <w:rFonts w:ascii="Gill Sans MT" w:hAnsi="Gill Sans MT"/>
          <w:sz w:val="26"/>
          <w:szCs w:val="26"/>
        </w:rPr>
        <w:t>lag behind</w:t>
      </w:r>
      <w:proofErr w:type="gramEnd"/>
      <w:r w:rsidRPr="00FA0BE5">
        <w:rPr>
          <w:rFonts w:ascii="Gill Sans MT" w:hAnsi="Gill Sans MT"/>
          <w:sz w:val="26"/>
          <w:szCs w:val="26"/>
        </w:rPr>
        <w:t xml:space="preserve"> technological advancements. There </w:t>
      </w:r>
      <w:proofErr w:type="gramStart"/>
      <w:r w:rsidRPr="00FA0BE5">
        <w:rPr>
          <w:rFonts w:ascii="Gill Sans MT" w:hAnsi="Gill Sans MT"/>
          <w:sz w:val="26"/>
          <w:szCs w:val="26"/>
        </w:rPr>
        <w:t>is</w:t>
      </w:r>
      <w:proofErr w:type="gramEnd"/>
      <w:r w:rsidRPr="00FA0BE5">
        <w:rPr>
          <w:rFonts w:ascii="Gill Sans MT" w:hAnsi="Gill Sans MT"/>
          <w:sz w:val="26"/>
          <w:szCs w:val="26"/>
        </w:rPr>
        <w:t xml:space="preserve"> inconsistent privacy protections across countries. And emergency or national security laws may override privacy rights.</w:t>
      </w:r>
    </w:p>
    <w:p w14:paraId="6DB8E9AA" w14:textId="6B647FFE" w:rsidR="00C24EC8" w:rsidRPr="00FA0BE5" w:rsidRDefault="00C24EC8">
      <w:pPr>
        <w:rPr>
          <w:rFonts w:ascii="Gill Sans MT" w:hAnsi="Gill Sans MT"/>
          <w:sz w:val="26"/>
          <w:szCs w:val="26"/>
        </w:rPr>
      </w:pPr>
      <w:r w:rsidRPr="00FA0BE5">
        <w:rPr>
          <w:rFonts w:ascii="Gill Sans MT" w:hAnsi="Gill Sans MT"/>
          <w:sz w:val="26"/>
          <w:szCs w:val="26"/>
        </w:rPr>
        <w:t xml:space="preserve">The fifth issue is discrimination and bias. Facial recognition and AI based surveillance can show racial, gender and socioeconomic bias. Marginalised communities are often disproportionately targeted, Errors in identification can lead to wrongful arrests or denial of services. </w:t>
      </w:r>
    </w:p>
    <w:p w14:paraId="7386E74C" w14:textId="67750F0D" w:rsidR="00C24EC8" w:rsidRPr="00FA0BE5" w:rsidRDefault="00531A52">
      <w:pPr>
        <w:rPr>
          <w:rFonts w:ascii="Gill Sans MT" w:hAnsi="Gill Sans MT"/>
          <w:sz w:val="26"/>
          <w:szCs w:val="26"/>
        </w:rPr>
      </w:pPr>
      <w:r w:rsidRPr="00FA0BE5">
        <w:rPr>
          <w:rFonts w:ascii="Gill Sans MT" w:hAnsi="Gill Sans MT"/>
          <w:sz w:val="26"/>
          <w:szCs w:val="26"/>
        </w:rPr>
        <w:t xml:space="preserve">The sixth issue is corporate surveillance and data exploitation. Companies track users for advertising and profit. Personal data is commodified without fair compensation. Users have limited control over how their data is shared or sold. </w:t>
      </w:r>
    </w:p>
    <w:p w14:paraId="7B1979B8" w14:textId="7BDEEEA7" w:rsidR="00531A52" w:rsidRPr="00FA0BE5" w:rsidRDefault="00531A52">
      <w:pPr>
        <w:rPr>
          <w:rFonts w:ascii="Gill Sans MT" w:hAnsi="Gill Sans MT"/>
          <w:sz w:val="26"/>
          <w:szCs w:val="26"/>
        </w:rPr>
      </w:pPr>
      <w:r w:rsidRPr="00FA0BE5">
        <w:rPr>
          <w:rFonts w:ascii="Gill Sans MT" w:hAnsi="Gill Sans MT"/>
          <w:sz w:val="26"/>
          <w:szCs w:val="26"/>
        </w:rPr>
        <w:t>The seventh issue is security vs privacy dilemma</w:t>
      </w:r>
      <w:r w:rsidR="00D26CE9" w:rsidRPr="00FA0BE5">
        <w:rPr>
          <w:rFonts w:ascii="Gill Sans MT" w:hAnsi="Gill Sans MT"/>
          <w:sz w:val="26"/>
          <w:szCs w:val="26"/>
        </w:rPr>
        <w:t>. Governments argue surveillance improves public safety and national security</w:t>
      </w:r>
      <w:r w:rsidR="009D6C4A">
        <w:rPr>
          <w:rFonts w:ascii="Gill Sans MT" w:hAnsi="Gill Sans MT"/>
          <w:sz w:val="26"/>
          <w:szCs w:val="26"/>
        </w:rPr>
        <w:t>, and</w:t>
      </w:r>
      <w:r w:rsidR="00D26CE9" w:rsidRPr="00FA0BE5">
        <w:rPr>
          <w:rFonts w:ascii="Gill Sans MT" w:hAnsi="Gill Sans MT"/>
          <w:sz w:val="26"/>
          <w:szCs w:val="26"/>
        </w:rPr>
        <w:t xml:space="preserve"> </w:t>
      </w:r>
      <w:r w:rsidR="009D6C4A">
        <w:rPr>
          <w:rFonts w:ascii="Gill Sans MT" w:hAnsi="Gill Sans MT"/>
          <w:sz w:val="26"/>
          <w:szCs w:val="26"/>
        </w:rPr>
        <w:t>s</w:t>
      </w:r>
      <w:r w:rsidR="00D26CE9" w:rsidRPr="00FA0BE5">
        <w:rPr>
          <w:rFonts w:ascii="Gill Sans MT" w:hAnsi="Gill Sans MT"/>
          <w:sz w:val="26"/>
          <w:szCs w:val="26"/>
        </w:rPr>
        <w:t>triking a balance between security needs civil liberties is difficult. Over</w:t>
      </w:r>
      <w:r w:rsidR="00FA0BE5">
        <w:rPr>
          <w:rFonts w:ascii="Gill Sans MT" w:hAnsi="Gill Sans MT"/>
          <w:sz w:val="26"/>
          <w:szCs w:val="26"/>
        </w:rPr>
        <w:t>-</w:t>
      </w:r>
      <w:r w:rsidR="00D26CE9" w:rsidRPr="00FA0BE5">
        <w:rPr>
          <w:rFonts w:ascii="Gill Sans MT" w:hAnsi="Gill Sans MT"/>
          <w:sz w:val="26"/>
          <w:szCs w:val="26"/>
        </w:rPr>
        <w:t xml:space="preserve">surveillance may not always result in greater safety. </w:t>
      </w:r>
    </w:p>
    <w:p w14:paraId="228FDE8A" w14:textId="03750F3B" w:rsidR="00D26CE9" w:rsidRDefault="00D26CE9">
      <w:pPr>
        <w:rPr>
          <w:rFonts w:ascii="Gill Sans MT" w:hAnsi="Gill Sans MT"/>
          <w:sz w:val="26"/>
          <w:szCs w:val="26"/>
        </w:rPr>
      </w:pPr>
      <w:r w:rsidRPr="00FA0BE5">
        <w:rPr>
          <w:rFonts w:ascii="Gill Sans MT" w:hAnsi="Gill Sans MT"/>
          <w:sz w:val="26"/>
          <w:szCs w:val="26"/>
        </w:rPr>
        <w:t>The eighth issue and final issue is lack of accountability. Limited mechanisms to challenge unlawful surveillance. Whistleblowers and journalists may face retaliation. Independent oversight bodies are often weak or absent.</w:t>
      </w:r>
    </w:p>
    <w:p w14:paraId="03CFC926" w14:textId="77777777" w:rsidR="009D6C4A" w:rsidRPr="00FA0BE5" w:rsidRDefault="009D6C4A">
      <w:pPr>
        <w:rPr>
          <w:rFonts w:ascii="Gill Sans MT" w:hAnsi="Gill Sans MT"/>
          <w:sz w:val="26"/>
          <w:szCs w:val="26"/>
        </w:rPr>
      </w:pPr>
    </w:p>
    <w:p w14:paraId="04FE0BCF" w14:textId="08064111" w:rsidR="00D26CE9" w:rsidRPr="00FA0BE5" w:rsidRDefault="00D26CE9">
      <w:pPr>
        <w:rPr>
          <w:rFonts w:ascii="Gill Sans MT" w:hAnsi="Gill Sans MT"/>
          <w:b/>
          <w:bCs/>
          <w:sz w:val="26"/>
          <w:szCs w:val="26"/>
        </w:rPr>
      </w:pPr>
      <w:r w:rsidRPr="00FA0BE5">
        <w:rPr>
          <w:rFonts w:ascii="Gill Sans MT" w:hAnsi="Gill Sans MT"/>
          <w:b/>
          <w:bCs/>
          <w:sz w:val="26"/>
          <w:szCs w:val="26"/>
        </w:rPr>
        <w:t xml:space="preserve">Points to </w:t>
      </w:r>
      <w:r w:rsidR="009D6C4A">
        <w:rPr>
          <w:rFonts w:ascii="Gill Sans MT" w:hAnsi="Gill Sans MT"/>
          <w:b/>
          <w:bCs/>
          <w:sz w:val="26"/>
          <w:szCs w:val="26"/>
        </w:rPr>
        <w:t>C</w:t>
      </w:r>
      <w:r w:rsidRPr="00FA0BE5">
        <w:rPr>
          <w:rFonts w:ascii="Gill Sans MT" w:hAnsi="Gill Sans MT"/>
          <w:b/>
          <w:bCs/>
          <w:sz w:val="26"/>
          <w:szCs w:val="26"/>
        </w:rPr>
        <w:t>onsider:</w:t>
      </w:r>
    </w:p>
    <w:p w14:paraId="6B0A99B3" w14:textId="3BCF7CFB" w:rsidR="00D26CE9" w:rsidRPr="00FA0BE5" w:rsidRDefault="00D26CE9" w:rsidP="00D26CE9">
      <w:pPr>
        <w:pStyle w:val="ListParagraph"/>
        <w:numPr>
          <w:ilvl w:val="0"/>
          <w:numId w:val="1"/>
        </w:numPr>
        <w:rPr>
          <w:rFonts w:ascii="Gill Sans MT" w:hAnsi="Gill Sans MT"/>
          <w:sz w:val="26"/>
          <w:szCs w:val="26"/>
        </w:rPr>
      </w:pPr>
      <w:r w:rsidRPr="00FA0BE5">
        <w:rPr>
          <w:rFonts w:ascii="Gill Sans MT" w:hAnsi="Gill Sans MT"/>
          <w:sz w:val="26"/>
          <w:szCs w:val="26"/>
        </w:rPr>
        <w:t>Whether surveillance is necessary?</w:t>
      </w:r>
    </w:p>
    <w:p w14:paraId="23D47F98" w14:textId="6712DCBE" w:rsidR="00D26CE9" w:rsidRPr="00FA0BE5" w:rsidRDefault="00D26CE9" w:rsidP="00D26CE9">
      <w:pPr>
        <w:pStyle w:val="ListParagraph"/>
        <w:numPr>
          <w:ilvl w:val="0"/>
          <w:numId w:val="1"/>
        </w:numPr>
        <w:rPr>
          <w:rFonts w:ascii="Gill Sans MT" w:hAnsi="Gill Sans MT"/>
          <w:sz w:val="26"/>
          <w:szCs w:val="26"/>
        </w:rPr>
      </w:pPr>
      <w:r w:rsidRPr="00FA0BE5">
        <w:rPr>
          <w:rFonts w:ascii="Gill Sans MT" w:hAnsi="Gill Sans MT"/>
          <w:sz w:val="26"/>
          <w:szCs w:val="26"/>
        </w:rPr>
        <w:t>How to mitigate personal data being collected without consent?</w:t>
      </w:r>
    </w:p>
    <w:p w14:paraId="1D436BAB" w14:textId="41B44C22" w:rsidR="00D26CE9" w:rsidRPr="00FA0BE5" w:rsidRDefault="00D26CE9" w:rsidP="00D26CE9">
      <w:pPr>
        <w:pStyle w:val="ListParagraph"/>
        <w:numPr>
          <w:ilvl w:val="0"/>
          <w:numId w:val="1"/>
        </w:numPr>
        <w:rPr>
          <w:rFonts w:ascii="Gill Sans MT" w:hAnsi="Gill Sans MT"/>
          <w:sz w:val="26"/>
          <w:szCs w:val="26"/>
        </w:rPr>
      </w:pPr>
      <w:r w:rsidRPr="00FA0BE5">
        <w:rPr>
          <w:rFonts w:ascii="Gill Sans MT" w:hAnsi="Gill Sans MT"/>
          <w:sz w:val="26"/>
          <w:szCs w:val="26"/>
        </w:rPr>
        <w:t>How to make consent clear and concise?</w:t>
      </w:r>
    </w:p>
    <w:p w14:paraId="00114C69" w14:textId="0247BE68" w:rsidR="00D26CE9" w:rsidRPr="00FA0BE5" w:rsidRDefault="00D26CE9" w:rsidP="00D26CE9">
      <w:pPr>
        <w:pStyle w:val="ListParagraph"/>
        <w:numPr>
          <w:ilvl w:val="0"/>
          <w:numId w:val="1"/>
        </w:numPr>
        <w:rPr>
          <w:rFonts w:ascii="Gill Sans MT" w:hAnsi="Gill Sans MT"/>
          <w:sz w:val="26"/>
          <w:szCs w:val="26"/>
        </w:rPr>
      </w:pPr>
      <w:r w:rsidRPr="00FA0BE5">
        <w:rPr>
          <w:rFonts w:ascii="Gill Sans MT" w:hAnsi="Gill Sans MT"/>
          <w:sz w:val="26"/>
          <w:szCs w:val="26"/>
        </w:rPr>
        <w:lastRenderedPageBreak/>
        <w:t>How to ensure data isn’t used unlawfully?</w:t>
      </w:r>
    </w:p>
    <w:p w14:paraId="28D09F8B" w14:textId="09D933B3" w:rsidR="00D26CE9" w:rsidRPr="00FA0BE5" w:rsidRDefault="00D26CE9" w:rsidP="00D26CE9">
      <w:pPr>
        <w:pStyle w:val="ListParagraph"/>
        <w:numPr>
          <w:ilvl w:val="0"/>
          <w:numId w:val="1"/>
        </w:numPr>
        <w:rPr>
          <w:rFonts w:ascii="Gill Sans MT" w:hAnsi="Gill Sans MT"/>
          <w:sz w:val="26"/>
          <w:szCs w:val="26"/>
        </w:rPr>
      </w:pPr>
      <w:r w:rsidRPr="00FA0BE5">
        <w:rPr>
          <w:rFonts w:ascii="Gill Sans MT" w:hAnsi="Gill Sans MT"/>
          <w:sz w:val="26"/>
          <w:szCs w:val="26"/>
        </w:rPr>
        <w:t>How to strengthen legal regulations?</w:t>
      </w:r>
    </w:p>
    <w:p w14:paraId="7722FB77" w14:textId="33EB8CB2" w:rsidR="00D26CE9" w:rsidRPr="00FA0BE5" w:rsidRDefault="00D26CE9" w:rsidP="00D26CE9">
      <w:pPr>
        <w:pStyle w:val="ListParagraph"/>
        <w:numPr>
          <w:ilvl w:val="0"/>
          <w:numId w:val="1"/>
        </w:numPr>
        <w:rPr>
          <w:rFonts w:ascii="Gill Sans MT" w:hAnsi="Gill Sans MT"/>
          <w:sz w:val="26"/>
          <w:szCs w:val="26"/>
        </w:rPr>
      </w:pPr>
      <w:r w:rsidRPr="00FA0BE5">
        <w:rPr>
          <w:rFonts w:ascii="Gill Sans MT" w:hAnsi="Gill Sans MT"/>
          <w:sz w:val="26"/>
          <w:szCs w:val="26"/>
        </w:rPr>
        <w:t>How to eliminate bias?</w:t>
      </w:r>
    </w:p>
    <w:p w14:paraId="7073F129" w14:textId="0710BB14" w:rsidR="00D26CE9" w:rsidRPr="00FA0BE5" w:rsidRDefault="00D26CE9" w:rsidP="00D26CE9">
      <w:pPr>
        <w:pStyle w:val="ListParagraph"/>
        <w:numPr>
          <w:ilvl w:val="0"/>
          <w:numId w:val="1"/>
        </w:numPr>
        <w:rPr>
          <w:rFonts w:ascii="Gill Sans MT" w:hAnsi="Gill Sans MT"/>
          <w:sz w:val="26"/>
          <w:szCs w:val="26"/>
        </w:rPr>
      </w:pPr>
      <w:r w:rsidRPr="00FA0BE5">
        <w:rPr>
          <w:rFonts w:ascii="Gill Sans MT" w:hAnsi="Gill Sans MT"/>
          <w:sz w:val="26"/>
          <w:szCs w:val="26"/>
        </w:rPr>
        <w:t>How to hold people accountable?</w:t>
      </w:r>
    </w:p>
    <w:p w14:paraId="2EE54E6C" w14:textId="77777777" w:rsidR="00D26CE9" w:rsidRPr="00FA0BE5" w:rsidRDefault="00D26CE9" w:rsidP="00D26CE9">
      <w:pPr>
        <w:rPr>
          <w:rFonts w:ascii="Gill Sans MT" w:hAnsi="Gill Sans MT"/>
          <w:sz w:val="26"/>
          <w:szCs w:val="26"/>
        </w:rPr>
      </w:pPr>
    </w:p>
    <w:p w14:paraId="2087E781" w14:textId="415E892F" w:rsidR="00D26CE9" w:rsidRPr="00FA0BE5" w:rsidRDefault="009D6C4A" w:rsidP="00D26CE9">
      <w:pPr>
        <w:rPr>
          <w:rFonts w:ascii="Gill Sans MT" w:hAnsi="Gill Sans MT"/>
          <w:b/>
          <w:bCs/>
          <w:sz w:val="26"/>
          <w:szCs w:val="26"/>
        </w:rPr>
      </w:pPr>
      <w:r>
        <w:rPr>
          <w:rFonts w:ascii="Gill Sans MT" w:hAnsi="Gill Sans MT"/>
          <w:b/>
          <w:bCs/>
          <w:sz w:val="26"/>
          <w:szCs w:val="26"/>
        </w:rPr>
        <w:t>Relevant Resources</w:t>
      </w:r>
      <w:r w:rsidR="00D26CE9" w:rsidRPr="00FA0BE5">
        <w:rPr>
          <w:rFonts w:ascii="Gill Sans MT" w:hAnsi="Gill Sans MT"/>
          <w:b/>
          <w:bCs/>
          <w:sz w:val="26"/>
          <w:szCs w:val="26"/>
        </w:rPr>
        <w:t>:</w:t>
      </w:r>
    </w:p>
    <w:p w14:paraId="7EA9F8BC" w14:textId="00DC8E8F" w:rsidR="00D26CE9" w:rsidRPr="009D6C4A" w:rsidRDefault="00D26CE9" w:rsidP="009D6C4A">
      <w:pPr>
        <w:pStyle w:val="ListParagraph"/>
        <w:numPr>
          <w:ilvl w:val="0"/>
          <w:numId w:val="2"/>
        </w:numPr>
        <w:rPr>
          <w:rFonts w:ascii="Gill Sans MT" w:hAnsi="Gill Sans MT"/>
          <w:sz w:val="26"/>
          <w:szCs w:val="26"/>
        </w:rPr>
      </w:pPr>
      <w:hyperlink r:id="rId8" w:history="1">
        <w:r w:rsidRPr="009D6C4A">
          <w:rPr>
            <w:rStyle w:val="Hyperlink"/>
            <w:rFonts w:ascii="Gill Sans MT" w:hAnsi="Gill Sans MT"/>
            <w:sz w:val="26"/>
            <w:szCs w:val="26"/>
          </w:rPr>
          <w:t>https://gchragd.org/wp-content/uploads/2023/06/GCHRAGD-SURVEILLANCE-AND-HUMAN-RIGHTS-background-paper.pdf</w:t>
        </w:r>
      </w:hyperlink>
    </w:p>
    <w:p w14:paraId="3064CE84" w14:textId="446155C4" w:rsidR="00D26CE9" w:rsidRPr="009D6C4A" w:rsidRDefault="00D26CE9" w:rsidP="009D6C4A">
      <w:pPr>
        <w:pStyle w:val="ListParagraph"/>
        <w:numPr>
          <w:ilvl w:val="0"/>
          <w:numId w:val="2"/>
        </w:numPr>
        <w:rPr>
          <w:rFonts w:ascii="Gill Sans MT" w:hAnsi="Gill Sans MT"/>
          <w:sz w:val="26"/>
          <w:szCs w:val="26"/>
        </w:rPr>
      </w:pPr>
      <w:hyperlink r:id="rId9" w:history="1">
        <w:r w:rsidRPr="009D6C4A">
          <w:rPr>
            <w:rStyle w:val="Hyperlink"/>
            <w:rFonts w:ascii="Gill Sans MT" w:hAnsi="Gill Sans MT"/>
            <w:sz w:val="26"/>
            <w:szCs w:val="26"/>
          </w:rPr>
          <w:t>https://www.ohchr.org/en/press-releases/2022/09/spyware-and-surveillance-threats-privacy-and-human-rights-growing-un-report</w:t>
        </w:r>
      </w:hyperlink>
    </w:p>
    <w:p w14:paraId="25A28D6B" w14:textId="68E65CB1" w:rsidR="00D26CE9" w:rsidRPr="009D6C4A" w:rsidRDefault="00D26CE9" w:rsidP="009D6C4A">
      <w:pPr>
        <w:pStyle w:val="ListParagraph"/>
        <w:numPr>
          <w:ilvl w:val="0"/>
          <w:numId w:val="2"/>
        </w:numPr>
        <w:rPr>
          <w:rFonts w:ascii="Gill Sans MT" w:hAnsi="Gill Sans MT"/>
          <w:sz w:val="26"/>
          <w:szCs w:val="26"/>
        </w:rPr>
      </w:pPr>
      <w:hyperlink r:id="rId10" w:history="1">
        <w:r w:rsidRPr="009D6C4A">
          <w:rPr>
            <w:rStyle w:val="Hyperlink"/>
            <w:rFonts w:ascii="Gill Sans MT" w:hAnsi="Gill Sans MT"/>
            <w:sz w:val="26"/>
            <w:szCs w:val="26"/>
          </w:rPr>
          <w:t>https://privacyinternational.org/learn/mass-surveillance</w:t>
        </w:r>
      </w:hyperlink>
    </w:p>
    <w:p w14:paraId="6EFBCC87" w14:textId="28D52A38" w:rsidR="00D26CE9" w:rsidRPr="009D6C4A" w:rsidRDefault="00D26CE9" w:rsidP="009D6C4A">
      <w:pPr>
        <w:pStyle w:val="ListParagraph"/>
        <w:numPr>
          <w:ilvl w:val="0"/>
          <w:numId w:val="2"/>
        </w:numPr>
        <w:rPr>
          <w:rFonts w:ascii="Gill Sans MT" w:hAnsi="Gill Sans MT"/>
          <w:sz w:val="26"/>
          <w:szCs w:val="26"/>
        </w:rPr>
      </w:pPr>
      <w:hyperlink r:id="rId11" w:history="1">
        <w:r w:rsidRPr="009D6C4A">
          <w:rPr>
            <w:rStyle w:val="Hyperlink"/>
            <w:rFonts w:ascii="Gill Sans MT" w:hAnsi="Gill Sans MT"/>
            <w:sz w:val="26"/>
            <w:szCs w:val="26"/>
          </w:rPr>
          <w:t>https://inclo.net/pillars/surveillance-and-digital-rights/</w:t>
        </w:r>
      </w:hyperlink>
    </w:p>
    <w:p w14:paraId="3DB57EFC" w14:textId="5C001B90" w:rsidR="00D26CE9" w:rsidRPr="009D6C4A" w:rsidRDefault="00D26CE9" w:rsidP="009D6C4A">
      <w:pPr>
        <w:pStyle w:val="ListParagraph"/>
        <w:numPr>
          <w:ilvl w:val="0"/>
          <w:numId w:val="2"/>
        </w:numPr>
        <w:rPr>
          <w:rFonts w:ascii="Gill Sans MT" w:hAnsi="Gill Sans MT"/>
          <w:sz w:val="26"/>
          <w:szCs w:val="26"/>
        </w:rPr>
      </w:pPr>
      <w:hyperlink r:id="rId12" w:history="1">
        <w:r w:rsidRPr="009D6C4A">
          <w:rPr>
            <w:rStyle w:val="Hyperlink"/>
            <w:rFonts w:ascii="Gill Sans MT" w:hAnsi="Gill Sans MT"/>
            <w:sz w:val="26"/>
            <w:szCs w:val="26"/>
          </w:rPr>
          <w:t>https://ijirl.com/wp-content/uploads/2025/09/DIGITAL-SURVEILLANCE-AND-THE-RIGHT-TO-PRIVACY-REASSESSING-HUMAN-RIGHTS-IN-THE-AGE-OF-TECHNOLOGY.pdf</w:t>
        </w:r>
      </w:hyperlink>
    </w:p>
    <w:p w14:paraId="2BC17233" w14:textId="77777777" w:rsidR="00D26CE9" w:rsidRPr="00FA0BE5" w:rsidRDefault="00D26CE9" w:rsidP="00D26CE9">
      <w:pPr>
        <w:rPr>
          <w:rFonts w:ascii="Gill Sans MT" w:hAnsi="Gill Sans MT"/>
          <w:sz w:val="26"/>
          <w:szCs w:val="26"/>
        </w:rPr>
      </w:pPr>
    </w:p>
    <w:sectPr w:rsidR="00D26CE9" w:rsidRPr="00FA0BE5" w:rsidSect="006E7C8F">
      <w:pgSz w:w="11906" w:h="16838"/>
      <w:pgMar w:top="1440" w:right="1800" w:bottom="1440" w:left="180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419C3"/>
    <w:multiLevelType w:val="hybridMultilevel"/>
    <w:tmpl w:val="0C7A2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CE0D51"/>
    <w:multiLevelType w:val="hybridMultilevel"/>
    <w:tmpl w:val="122EB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94811193">
    <w:abstractNumId w:val="1"/>
  </w:num>
  <w:num w:numId="2" w16cid:durableId="1767538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EC8"/>
    <w:rsid w:val="0033661F"/>
    <w:rsid w:val="00531A52"/>
    <w:rsid w:val="00577678"/>
    <w:rsid w:val="006E7C8F"/>
    <w:rsid w:val="00850D4A"/>
    <w:rsid w:val="008C7634"/>
    <w:rsid w:val="009D6C4A"/>
    <w:rsid w:val="00B43C8D"/>
    <w:rsid w:val="00C24EC8"/>
    <w:rsid w:val="00D26CE9"/>
    <w:rsid w:val="00FA0B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D4342"/>
  <w15:chartTrackingRefBased/>
  <w15:docId w15:val="{9711C832-1674-4E86-A88A-C0A386B10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C24E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4E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E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E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E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E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E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E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E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E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4E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E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E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E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E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E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E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EC8"/>
    <w:rPr>
      <w:rFonts w:eastAsiaTheme="majorEastAsia" w:cstheme="majorBidi"/>
      <w:color w:val="272727" w:themeColor="text1" w:themeTint="D8"/>
    </w:rPr>
  </w:style>
  <w:style w:type="paragraph" w:styleId="Title">
    <w:name w:val="Title"/>
    <w:basedOn w:val="Normal"/>
    <w:next w:val="Normal"/>
    <w:link w:val="TitleChar"/>
    <w:uiPriority w:val="10"/>
    <w:qFormat/>
    <w:rsid w:val="00C24E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E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E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EC8"/>
    <w:pPr>
      <w:spacing w:before="160"/>
      <w:jc w:val="center"/>
    </w:pPr>
    <w:rPr>
      <w:i/>
      <w:iCs/>
      <w:color w:val="404040" w:themeColor="text1" w:themeTint="BF"/>
    </w:rPr>
  </w:style>
  <w:style w:type="character" w:customStyle="1" w:styleId="QuoteChar">
    <w:name w:val="Quote Char"/>
    <w:basedOn w:val="DefaultParagraphFont"/>
    <w:link w:val="Quote"/>
    <w:uiPriority w:val="29"/>
    <w:rsid w:val="00C24EC8"/>
    <w:rPr>
      <w:i/>
      <w:iCs/>
      <w:color w:val="404040" w:themeColor="text1" w:themeTint="BF"/>
    </w:rPr>
  </w:style>
  <w:style w:type="paragraph" w:styleId="ListParagraph">
    <w:name w:val="List Paragraph"/>
    <w:basedOn w:val="Normal"/>
    <w:uiPriority w:val="34"/>
    <w:qFormat/>
    <w:rsid w:val="00C24EC8"/>
    <w:pPr>
      <w:ind w:left="720"/>
      <w:contextualSpacing/>
    </w:pPr>
  </w:style>
  <w:style w:type="character" w:styleId="IntenseEmphasis">
    <w:name w:val="Intense Emphasis"/>
    <w:basedOn w:val="DefaultParagraphFont"/>
    <w:uiPriority w:val="21"/>
    <w:qFormat/>
    <w:rsid w:val="00C24EC8"/>
    <w:rPr>
      <w:i/>
      <w:iCs/>
      <w:color w:val="0F4761" w:themeColor="accent1" w:themeShade="BF"/>
    </w:rPr>
  </w:style>
  <w:style w:type="paragraph" w:styleId="IntenseQuote">
    <w:name w:val="Intense Quote"/>
    <w:basedOn w:val="Normal"/>
    <w:next w:val="Normal"/>
    <w:link w:val="IntenseQuoteChar"/>
    <w:uiPriority w:val="30"/>
    <w:qFormat/>
    <w:rsid w:val="00C24E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EC8"/>
    <w:rPr>
      <w:i/>
      <w:iCs/>
      <w:color w:val="0F4761" w:themeColor="accent1" w:themeShade="BF"/>
    </w:rPr>
  </w:style>
  <w:style w:type="character" w:styleId="IntenseReference">
    <w:name w:val="Intense Reference"/>
    <w:basedOn w:val="DefaultParagraphFont"/>
    <w:uiPriority w:val="32"/>
    <w:qFormat/>
    <w:rsid w:val="00C24EC8"/>
    <w:rPr>
      <w:b/>
      <w:bCs/>
      <w:smallCaps/>
      <w:color w:val="0F4761" w:themeColor="accent1" w:themeShade="BF"/>
      <w:spacing w:val="5"/>
    </w:rPr>
  </w:style>
  <w:style w:type="character" w:styleId="Hyperlink">
    <w:name w:val="Hyperlink"/>
    <w:basedOn w:val="DefaultParagraphFont"/>
    <w:uiPriority w:val="99"/>
    <w:unhideWhenUsed/>
    <w:rsid w:val="00D26CE9"/>
    <w:rPr>
      <w:color w:val="467886" w:themeColor="hyperlink"/>
      <w:u w:val="single"/>
    </w:rPr>
  </w:style>
  <w:style w:type="character" w:styleId="UnresolvedMention">
    <w:name w:val="Unresolved Mention"/>
    <w:basedOn w:val="DefaultParagraphFont"/>
    <w:uiPriority w:val="99"/>
    <w:semiHidden/>
    <w:unhideWhenUsed/>
    <w:rsid w:val="00D26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hragd.org/wp-content/uploads/2023/06/GCHRAGD-SURVEILLANCE-AND-HUMAN-RIGHTS-background-paper.pdf"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jirl.com/wp-content/uploads/2025/09/DIGITAL-SURVEILLANCE-AND-THE-RIGHT-TO-PRIVACY-REASSESSING-HUMAN-RIGHTS-IN-THE-AGE-OF-TECHNOLOGY.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clo.net/pillars/surveillance-and-digital-rights/" TargetMode="External"/><Relationship Id="rId5" Type="http://schemas.openxmlformats.org/officeDocument/2006/relationships/styles" Target="styles.xml"/><Relationship Id="rId10" Type="http://schemas.openxmlformats.org/officeDocument/2006/relationships/hyperlink" Target="https://privacyinternational.org/learn/mass-surveillance" TargetMode="External"/><Relationship Id="rId4" Type="http://schemas.openxmlformats.org/officeDocument/2006/relationships/numbering" Target="numbering.xml"/><Relationship Id="rId9" Type="http://schemas.openxmlformats.org/officeDocument/2006/relationships/hyperlink" Target="https://www.ohchr.org/en/press-releases/2022/09/spyware-and-surveillance-threats-privacy-and-human-rights-growing-un-report"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7f3379-bb41-4c9f-907e-05b05736320e" xsi:nil="true"/>
    <lcf76f155ced4ddcb4097134ff3c332f xmlns="c7cf3323-b876-4cf8-8941-d4c52aa160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7D0EDBDEA6D44C89EDBE0FEB162887" ma:contentTypeVersion="10" ma:contentTypeDescription="Create a new document." ma:contentTypeScope="" ma:versionID="572f2ca196612262baa3202cc5eaa199">
  <xsd:schema xmlns:xsd="http://www.w3.org/2001/XMLSchema" xmlns:xs="http://www.w3.org/2001/XMLSchema" xmlns:p="http://schemas.microsoft.com/office/2006/metadata/properties" xmlns:ns2="c7cf3323-b876-4cf8-8941-d4c52aa16067" xmlns:ns3="097f3379-bb41-4c9f-907e-05b05736320e" targetNamespace="http://schemas.microsoft.com/office/2006/metadata/properties" ma:root="true" ma:fieldsID="1743b531841f763461b8a29144c37068" ns2:_="" ns3:_="">
    <xsd:import namespace="c7cf3323-b876-4cf8-8941-d4c52aa16067"/>
    <xsd:import namespace="097f3379-bb41-4c9f-907e-05b0573632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f3323-b876-4cf8-8941-d4c52aa16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58aaaa-607e-458a-b647-6d735a4c63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f3379-bb41-4c9f-907e-05b0573632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7acd65-312e-439f-b819-b9070f5f3cdf}" ma:internalName="TaxCatchAll" ma:showField="CatchAllData" ma:web="097f3379-bb41-4c9f-907e-05b057363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E8C24-4EC0-42BE-80AD-055317590003}">
  <ds:schemaRefs>
    <ds:schemaRef ds:uri="http://schemas.microsoft.com/office/2006/metadata/properties"/>
    <ds:schemaRef ds:uri="http://schemas.microsoft.com/office/infopath/2007/PartnerControls"/>
    <ds:schemaRef ds:uri="097f3379-bb41-4c9f-907e-05b05736320e"/>
    <ds:schemaRef ds:uri="c7cf3323-b876-4cf8-8941-d4c52aa16067"/>
  </ds:schemaRefs>
</ds:datastoreItem>
</file>

<file path=customXml/itemProps2.xml><?xml version="1.0" encoding="utf-8"?>
<ds:datastoreItem xmlns:ds="http://schemas.openxmlformats.org/officeDocument/2006/customXml" ds:itemID="{A71CF96B-D504-416F-89D1-479EB3B8D59D}">
  <ds:schemaRefs>
    <ds:schemaRef ds:uri="http://schemas.microsoft.com/sharepoint/v3/contenttype/forms"/>
  </ds:schemaRefs>
</ds:datastoreItem>
</file>

<file path=customXml/itemProps3.xml><?xml version="1.0" encoding="utf-8"?>
<ds:datastoreItem xmlns:ds="http://schemas.openxmlformats.org/officeDocument/2006/customXml" ds:itemID="{ACFEACD9-4B74-4E8F-B59C-A7184C14F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f3323-b876-4cf8-8941-d4c52aa16067"/>
    <ds:schemaRef ds:uri="097f3379-bb41-4c9f-907e-05b057363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 Bhagdev (J6KC)</dc:creator>
  <cp:keywords/>
  <dc:description/>
  <cp:lastModifiedBy>Kiyah-Louise Lopez (S6SN)</cp:lastModifiedBy>
  <cp:revision>4</cp:revision>
  <dcterms:created xsi:type="dcterms:W3CDTF">2025-12-20T16:55:00Z</dcterms:created>
  <dcterms:modified xsi:type="dcterms:W3CDTF">2026-01-26T20:54:00Z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0x010100FA7D0EDBDEA6D44C89EDBE0FEB162887</vt:lpwstr>
  </property>
  <property fmtid="{D5CDD505-2E9C-101B-9397-08002B2CF9AE}" pid="3" name="MediaServiceImageTags">
    <vt:lpwstr/>
  </property>
</Properties>
</file>