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2CE7" w14:textId="70CFB370" w:rsidR="00E55CBA" w:rsidRPr="008B791C" w:rsidRDefault="00E55CBA" w:rsidP="00E55CBA">
      <w:pPr>
        <w:rPr>
          <w:rFonts w:ascii="Gill Sans MT" w:hAnsi="Gill Sans MT" w:cs="Calibri"/>
          <w:b/>
          <w:bCs/>
          <w:sz w:val="32"/>
          <w:szCs w:val="32"/>
        </w:rPr>
      </w:pPr>
      <w:r w:rsidRPr="008B791C">
        <w:rPr>
          <w:rFonts w:ascii="Gill Sans MT" w:hAnsi="Gill Sans MT" w:cs="Calibri"/>
          <w:b/>
          <w:bCs/>
          <w:sz w:val="32"/>
          <w:szCs w:val="32"/>
        </w:rPr>
        <w:t>The Issue of Reinforcing Global Multilateralism in Trade and Unionship</w:t>
      </w:r>
    </w:p>
    <w:p w14:paraId="197661C7" w14:textId="77777777" w:rsidR="00E55CBA" w:rsidRPr="008B791C" w:rsidRDefault="00E55CBA" w:rsidP="00E55CBA">
      <w:pPr>
        <w:rPr>
          <w:rFonts w:ascii="Gill Sans MT" w:hAnsi="Gill Sans MT" w:cs="Calibri"/>
          <w:sz w:val="26"/>
          <w:szCs w:val="26"/>
        </w:rPr>
      </w:pPr>
      <w:r w:rsidRPr="008B791C">
        <w:rPr>
          <w:rFonts w:ascii="Gill Sans MT" w:hAnsi="Gill Sans MT" w:cs="Calibri"/>
          <w:sz w:val="26"/>
          <w:szCs w:val="26"/>
        </w:rPr>
        <w:t>Global multilateralism in trade and labour cooperation has been a cornerstone of economic stability since the mid-20th century. Institutions such as the World Trade Organization (WTO) and the International Labour Organization (ILO) were established to promote fair trade, labour standards, and cooperation among states. However, rising economic nationalism, geopolitical tensions, and rapid technological change have weakened confidence in multilateral systems.</w:t>
      </w:r>
    </w:p>
    <w:p w14:paraId="6D91CA2F" w14:textId="77777777" w:rsidR="00E55CBA" w:rsidRPr="008B791C" w:rsidRDefault="00E55CBA" w:rsidP="00E55CBA">
      <w:pPr>
        <w:rPr>
          <w:rFonts w:ascii="Gill Sans MT" w:hAnsi="Gill Sans MT" w:cs="Calibri"/>
          <w:sz w:val="26"/>
          <w:szCs w:val="26"/>
        </w:rPr>
      </w:pPr>
      <w:r w:rsidRPr="008B791C">
        <w:rPr>
          <w:rFonts w:ascii="Gill Sans MT" w:hAnsi="Gill Sans MT" w:cs="Calibri"/>
          <w:sz w:val="26"/>
          <w:szCs w:val="26"/>
        </w:rPr>
        <w:t>In recent years, unilateral trade measures, trade wars, and the bypassing of multilateral dispute mechanisms have undermined the credibility of global trade governance. The WTO has faced challenges in dispute settlement, rule updates, and consensus-building, limiting its ability to respond to new economic realities such as digital trade and state-led industrial policies.</w:t>
      </w:r>
    </w:p>
    <w:p w14:paraId="0D066470" w14:textId="77777777" w:rsidR="00E55CBA" w:rsidRPr="008B791C" w:rsidRDefault="00E55CBA" w:rsidP="00E55CBA">
      <w:pPr>
        <w:rPr>
          <w:rFonts w:ascii="Gill Sans MT" w:hAnsi="Gill Sans MT" w:cs="Calibri"/>
          <w:sz w:val="26"/>
          <w:szCs w:val="26"/>
        </w:rPr>
      </w:pPr>
      <w:r w:rsidRPr="008B791C">
        <w:rPr>
          <w:rFonts w:ascii="Gill Sans MT" w:hAnsi="Gill Sans MT" w:cs="Calibri"/>
          <w:sz w:val="26"/>
          <w:szCs w:val="26"/>
        </w:rPr>
        <w:t>At the same time, innovation and automation are transforming labour markets worldwide. While technological progress can increase productivity and growth, it also threatens job security, workers’ rights, and traditional forms of labour organisation. The ILO warns that without international coordination, innovation may exacerbate inequality and weaken labour protections, particularly in developing economies.</w:t>
      </w:r>
    </w:p>
    <w:p w14:paraId="4947DDCD" w14:textId="77777777" w:rsidR="00E55CBA" w:rsidRPr="008B791C" w:rsidRDefault="00E55CBA" w:rsidP="00E55CBA">
      <w:pPr>
        <w:rPr>
          <w:rFonts w:ascii="Gill Sans MT" w:hAnsi="Gill Sans MT" w:cs="Calibri"/>
          <w:sz w:val="26"/>
          <w:szCs w:val="26"/>
        </w:rPr>
      </w:pPr>
      <w:r w:rsidRPr="008B791C">
        <w:rPr>
          <w:rFonts w:ascii="Gill Sans MT" w:hAnsi="Gill Sans MT" w:cs="Calibri"/>
          <w:sz w:val="26"/>
          <w:szCs w:val="26"/>
        </w:rPr>
        <w:t>Global “</w:t>
      </w:r>
      <w:proofErr w:type="spellStart"/>
      <w:r w:rsidRPr="008B791C">
        <w:rPr>
          <w:rFonts w:ascii="Gill Sans MT" w:hAnsi="Gill Sans MT" w:cs="Calibri"/>
          <w:sz w:val="26"/>
          <w:szCs w:val="26"/>
        </w:rPr>
        <w:t>unionship</w:t>
      </w:r>
      <w:proofErr w:type="spellEnd"/>
      <w:r w:rsidRPr="008B791C">
        <w:rPr>
          <w:rFonts w:ascii="Gill Sans MT" w:hAnsi="Gill Sans MT" w:cs="Calibri"/>
          <w:sz w:val="26"/>
          <w:szCs w:val="26"/>
        </w:rPr>
        <w:t>,” understood as cooperation on labour standards and workers’ rights, is increasingly strained by competition for investment and cost advantages. Some states lower labour protections to attract multinational corporations, creating a “race to the bottom.” This undermines social cohesion and fuels public dissatisfaction with globalisation.</w:t>
      </w:r>
    </w:p>
    <w:p w14:paraId="6514D564" w14:textId="77777777" w:rsidR="00E55CBA" w:rsidRPr="008B791C" w:rsidRDefault="00E55CBA" w:rsidP="00E55CBA">
      <w:pPr>
        <w:rPr>
          <w:rFonts w:ascii="Gill Sans MT" w:hAnsi="Gill Sans MT" w:cs="Calibri"/>
          <w:sz w:val="26"/>
          <w:szCs w:val="26"/>
        </w:rPr>
      </w:pPr>
      <w:r w:rsidRPr="008B791C">
        <w:rPr>
          <w:rFonts w:ascii="Gill Sans MT" w:hAnsi="Gill Sans MT" w:cs="Calibri"/>
          <w:sz w:val="26"/>
          <w:szCs w:val="26"/>
        </w:rPr>
        <w:t>Reinforcing multilateralism requires updating institutions to reflect modern economic realities while preserving core principles of cooperation, fairness, and inclusivity. Initiatives such as the ILO’s Decent Work Agenda and WTO reform discussions aim to align trade liberalisation with social protections. However, progress depends on political will and trust among Member States.</w:t>
      </w:r>
    </w:p>
    <w:p w14:paraId="6B4B47F3" w14:textId="77777777" w:rsidR="00E55CBA" w:rsidRDefault="00E55CBA" w:rsidP="00E55CBA">
      <w:pPr>
        <w:rPr>
          <w:rFonts w:ascii="Gill Sans MT" w:hAnsi="Gill Sans MT" w:cs="Calibri"/>
          <w:sz w:val="26"/>
          <w:szCs w:val="26"/>
        </w:rPr>
      </w:pPr>
      <w:proofErr w:type="spellStart"/>
      <w:r w:rsidRPr="008B791C">
        <w:rPr>
          <w:rFonts w:ascii="Gill Sans MT" w:hAnsi="Gill Sans MT" w:cs="Calibri"/>
          <w:sz w:val="26"/>
          <w:szCs w:val="26"/>
        </w:rPr>
        <w:t>SpecCom</w:t>
      </w:r>
      <w:proofErr w:type="spellEnd"/>
      <w:r w:rsidRPr="008B791C">
        <w:rPr>
          <w:rFonts w:ascii="Gill Sans MT" w:hAnsi="Gill Sans MT" w:cs="Calibri"/>
          <w:sz w:val="26"/>
          <w:szCs w:val="26"/>
        </w:rPr>
        <w:t xml:space="preserve"> has a strategic role in examining how innovation-driven economic transformation can coexist with strong multilateral cooperation. Strengthening global trade governance and labour cooperation is essential to ensuring that economic innovation contributes to shared prosperity rather than division.</w:t>
      </w:r>
    </w:p>
    <w:p w14:paraId="54BDB419" w14:textId="77777777" w:rsidR="008B791C" w:rsidRPr="008B791C" w:rsidRDefault="008B791C" w:rsidP="00E55CBA">
      <w:pPr>
        <w:rPr>
          <w:rFonts w:ascii="Gill Sans MT" w:hAnsi="Gill Sans MT" w:cs="Calibri"/>
          <w:sz w:val="26"/>
          <w:szCs w:val="26"/>
        </w:rPr>
      </w:pPr>
    </w:p>
    <w:p w14:paraId="42142153" w14:textId="01D18FA4" w:rsidR="00E55CBA" w:rsidRDefault="00E55CBA" w:rsidP="00E55CBA">
      <w:pPr>
        <w:rPr>
          <w:rFonts w:ascii="Gill Sans MT" w:hAnsi="Gill Sans MT" w:cs="Calibri"/>
          <w:sz w:val="26"/>
          <w:szCs w:val="26"/>
        </w:rPr>
      </w:pPr>
      <w:r w:rsidRPr="008B791C">
        <w:rPr>
          <w:rFonts w:ascii="Gill Sans MT" w:hAnsi="Gill Sans MT" w:cs="Calibri"/>
          <w:b/>
          <w:bCs/>
          <w:sz w:val="26"/>
          <w:szCs w:val="26"/>
        </w:rPr>
        <w:lastRenderedPageBreak/>
        <w:t xml:space="preserve">Points </w:t>
      </w:r>
      <w:r w:rsidR="008B791C" w:rsidRPr="008B791C">
        <w:rPr>
          <w:rFonts w:ascii="Gill Sans MT" w:hAnsi="Gill Sans MT" w:cs="Calibri"/>
          <w:b/>
          <w:bCs/>
          <w:sz w:val="26"/>
          <w:szCs w:val="26"/>
        </w:rPr>
        <w:t>to Consider:</w:t>
      </w:r>
      <w:r w:rsidRPr="008B791C">
        <w:rPr>
          <w:rFonts w:ascii="Gill Sans MT" w:hAnsi="Gill Sans MT" w:cs="Calibri"/>
          <w:sz w:val="26"/>
          <w:szCs w:val="26"/>
          <w:u w:val="single"/>
        </w:rPr>
        <w:br/>
      </w:r>
      <w:r w:rsidRPr="008B791C">
        <w:rPr>
          <w:rFonts w:ascii="Gill Sans MT" w:hAnsi="Gill Sans MT" w:cs="Calibri"/>
          <w:sz w:val="26"/>
          <w:szCs w:val="26"/>
        </w:rPr>
        <w:t>• How can multilateral trade institutions be reformed to address modern economic challenges?</w:t>
      </w:r>
      <w:r w:rsidRPr="008B791C">
        <w:rPr>
          <w:rFonts w:ascii="Gill Sans MT" w:hAnsi="Gill Sans MT" w:cs="Calibri"/>
          <w:sz w:val="26"/>
          <w:szCs w:val="26"/>
        </w:rPr>
        <w:br/>
        <w:t>• What role should labour standards play in global trade agreements?</w:t>
      </w:r>
      <w:r w:rsidRPr="008B791C">
        <w:rPr>
          <w:rFonts w:ascii="Gill Sans MT" w:hAnsi="Gill Sans MT" w:cs="Calibri"/>
          <w:sz w:val="26"/>
          <w:szCs w:val="26"/>
        </w:rPr>
        <w:br/>
        <w:t>• How can innovation be balanced with job protection and workers’ rights?</w:t>
      </w:r>
      <w:r w:rsidRPr="008B791C">
        <w:rPr>
          <w:rFonts w:ascii="Gill Sans MT" w:hAnsi="Gill Sans MT" w:cs="Calibri"/>
          <w:sz w:val="26"/>
          <w:szCs w:val="26"/>
        </w:rPr>
        <w:br/>
        <w:t>• How can trust in multilateral systems be restored amid rising nationalism?</w:t>
      </w:r>
      <w:r w:rsidRPr="008B791C">
        <w:rPr>
          <w:rFonts w:ascii="Gill Sans MT" w:hAnsi="Gill Sans MT" w:cs="Calibri"/>
          <w:sz w:val="26"/>
          <w:szCs w:val="26"/>
        </w:rPr>
        <w:br/>
        <w:t>• What mechanisms can promote fair competition without undermining sovereignty?</w:t>
      </w:r>
    </w:p>
    <w:p w14:paraId="56932D80" w14:textId="77777777" w:rsidR="008B791C" w:rsidRPr="008B791C" w:rsidRDefault="008B791C" w:rsidP="00E55CBA">
      <w:pPr>
        <w:rPr>
          <w:rFonts w:ascii="Gill Sans MT" w:hAnsi="Gill Sans MT" w:cs="Calibri"/>
          <w:sz w:val="26"/>
          <w:szCs w:val="26"/>
        </w:rPr>
      </w:pPr>
    </w:p>
    <w:p w14:paraId="194F444C" w14:textId="509A839E" w:rsidR="00E55CBA" w:rsidRPr="008B791C" w:rsidRDefault="00E55CBA" w:rsidP="00E55CBA">
      <w:pPr>
        <w:rPr>
          <w:rFonts w:ascii="Gill Sans MT" w:hAnsi="Gill Sans MT" w:cs="Calibri"/>
          <w:sz w:val="26"/>
          <w:szCs w:val="26"/>
        </w:rPr>
      </w:pPr>
      <w:r w:rsidRPr="008B791C">
        <w:rPr>
          <w:rFonts w:ascii="Gill Sans MT" w:hAnsi="Gill Sans MT" w:cs="Calibri"/>
          <w:b/>
          <w:bCs/>
          <w:sz w:val="26"/>
          <w:szCs w:val="26"/>
        </w:rPr>
        <w:t xml:space="preserve">Relevant </w:t>
      </w:r>
      <w:r w:rsidR="008B791C">
        <w:rPr>
          <w:rFonts w:ascii="Gill Sans MT" w:hAnsi="Gill Sans MT" w:cs="Calibri"/>
          <w:b/>
          <w:bCs/>
          <w:sz w:val="26"/>
          <w:szCs w:val="26"/>
        </w:rPr>
        <w:t>R</w:t>
      </w:r>
      <w:r w:rsidRPr="008B791C">
        <w:rPr>
          <w:rFonts w:ascii="Gill Sans MT" w:hAnsi="Gill Sans MT" w:cs="Calibri"/>
          <w:b/>
          <w:bCs/>
          <w:sz w:val="26"/>
          <w:szCs w:val="26"/>
        </w:rPr>
        <w:t>esources:</w:t>
      </w:r>
      <w:r w:rsidRPr="008B791C">
        <w:rPr>
          <w:rFonts w:ascii="Gill Sans MT" w:hAnsi="Gill Sans MT" w:cs="Calibri"/>
          <w:sz w:val="26"/>
          <w:szCs w:val="26"/>
        </w:rPr>
        <w:br/>
        <w:t xml:space="preserve">• World Trade Organization (WTO) – </w:t>
      </w:r>
      <w:hyperlink r:id="rId7" w:history="1">
        <w:r w:rsidRPr="007A5C13">
          <w:rPr>
            <w:rStyle w:val="Hyperlink"/>
            <w:rFonts w:ascii="Gill Sans MT" w:hAnsi="Gill Sans MT" w:cs="Calibri"/>
            <w:i/>
            <w:iCs/>
            <w:sz w:val="26"/>
            <w:szCs w:val="26"/>
          </w:rPr>
          <w:t>Multilateral Trading System</w:t>
        </w:r>
      </w:hyperlink>
      <w:r w:rsidRPr="008B791C">
        <w:rPr>
          <w:rFonts w:ascii="Gill Sans MT" w:hAnsi="Gill Sans MT" w:cs="Calibri"/>
          <w:sz w:val="26"/>
          <w:szCs w:val="26"/>
        </w:rPr>
        <w:br/>
        <w:t xml:space="preserve">• International Labour Organization (ILO) – </w:t>
      </w:r>
      <w:hyperlink r:id="rId8" w:history="1">
        <w:r w:rsidRPr="007A5C13">
          <w:rPr>
            <w:rStyle w:val="Hyperlink"/>
            <w:rFonts w:ascii="Gill Sans MT" w:hAnsi="Gill Sans MT" w:cs="Calibri"/>
            <w:i/>
            <w:iCs/>
            <w:sz w:val="26"/>
            <w:szCs w:val="26"/>
          </w:rPr>
          <w:t>Decent Work Agenda</w:t>
        </w:r>
      </w:hyperlink>
      <w:r w:rsidRPr="008B791C">
        <w:rPr>
          <w:rFonts w:ascii="Gill Sans MT" w:hAnsi="Gill Sans MT" w:cs="Calibri"/>
          <w:sz w:val="26"/>
          <w:szCs w:val="26"/>
        </w:rPr>
        <w:br/>
        <w:t xml:space="preserve">• </w:t>
      </w:r>
      <w:hyperlink r:id="rId9" w:history="1">
        <w:r w:rsidRPr="00507D85">
          <w:rPr>
            <w:rStyle w:val="Hyperlink"/>
            <w:rFonts w:ascii="Gill Sans MT" w:hAnsi="Gill Sans MT" w:cs="Calibri"/>
            <w:sz w:val="26"/>
            <w:szCs w:val="26"/>
          </w:rPr>
          <w:t>UN Department of Economic and Social Affairs (UN DESA)</w:t>
        </w:r>
      </w:hyperlink>
      <w:r w:rsidRPr="008B791C">
        <w:rPr>
          <w:rFonts w:ascii="Gill Sans MT" w:hAnsi="Gill Sans MT" w:cs="Calibri"/>
          <w:sz w:val="26"/>
          <w:szCs w:val="26"/>
        </w:rPr>
        <w:br/>
        <w:t xml:space="preserve">• OECD – </w:t>
      </w:r>
      <w:hyperlink r:id="rId10" w:history="1">
        <w:r w:rsidRPr="00507D85">
          <w:rPr>
            <w:rStyle w:val="Hyperlink"/>
            <w:rFonts w:ascii="Gill Sans MT" w:hAnsi="Gill Sans MT" w:cs="Calibri"/>
            <w:i/>
            <w:iCs/>
            <w:sz w:val="26"/>
            <w:szCs w:val="26"/>
          </w:rPr>
          <w:t>Globalisation and Labour Markets</w:t>
        </w:r>
      </w:hyperlink>
      <w:r w:rsidRPr="008B791C">
        <w:rPr>
          <w:rFonts w:ascii="Gill Sans MT" w:hAnsi="Gill Sans MT" w:cs="Calibri"/>
          <w:sz w:val="26"/>
          <w:szCs w:val="26"/>
        </w:rPr>
        <w:br/>
        <w:t xml:space="preserve">• World Economic Forum – </w:t>
      </w:r>
      <w:hyperlink r:id="rId11" w:history="1">
        <w:r w:rsidRPr="00A80C82">
          <w:rPr>
            <w:rStyle w:val="Hyperlink"/>
            <w:rFonts w:ascii="Gill Sans MT" w:hAnsi="Gill Sans MT" w:cs="Calibri"/>
            <w:i/>
            <w:iCs/>
            <w:sz w:val="26"/>
            <w:szCs w:val="26"/>
          </w:rPr>
          <w:t>Global Trade and Economic Governance</w:t>
        </w:r>
      </w:hyperlink>
      <w:r w:rsidRPr="008B791C">
        <w:rPr>
          <w:rFonts w:ascii="Gill Sans MT" w:hAnsi="Gill Sans MT" w:cs="Calibri"/>
          <w:i/>
          <w:iCs/>
          <w:sz w:val="26"/>
          <w:szCs w:val="26"/>
        </w:rPr>
        <w:t xml:space="preserve"> </w:t>
      </w:r>
    </w:p>
    <w:p w14:paraId="10FBD49B" w14:textId="77777777" w:rsidR="00E55CBA" w:rsidRPr="008B791C" w:rsidRDefault="00E55CBA" w:rsidP="00E55CBA">
      <w:pPr>
        <w:rPr>
          <w:rFonts w:ascii="Gill Sans MT" w:hAnsi="Gill Sans MT"/>
          <w:sz w:val="26"/>
          <w:szCs w:val="26"/>
        </w:rPr>
      </w:pPr>
    </w:p>
    <w:p w14:paraId="560D8441" w14:textId="77777777" w:rsidR="009D15BD" w:rsidRPr="008B791C" w:rsidRDefault="009D15BD">
      <w:pPr>
        <w:rPr>
          <w:rFonts w:ascii="Gill Sans MT" w:hAnsi="Gill Sans MT"/>
          <w:sz w:val="26"/>
          <w:szCs w:val="26"/>
        </w:rPr>
      </w:pPr>
    </w:p>
    <w:sectPr w:rsidR="009D15BD" w:rsidRPr="008B7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BA"/>
    <w:rsid w:val="000D67B2"/>
    <w:rsid w:val="000E48BA"/>
    <w:rsid w:val="00123DF0"/>
    <w:rsid w:val="003D224E"/>
    <w:rsid w:val="00507D85"/>
    <w:rsid w:val="007A5C13"/>
    <w:rsid w:val="008B791C"/>
    <w:rsid w:val="00987FCD"/>
    <w:rsid w:val="009D15BD"/>
    <w:rsid w:val="00A80C82"/>
    <w:rsid w:val="00E55CBA"/>
    <w:rsid w:val="00E66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D5AE"/>
  <w15:chartTrackingRefBased/>
  <w15:docId w15:val="{B92D8C07-0210-43A7-942D-DF466318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CBA"/>
  </w:style>
  <w:style w:type="paragraph" w:styleId="Heading1">
    <w:name w:val="heading 1"/>
    <w:basedOn w:val="Normal"/>
    <w:next w:val="Normal"/>
    <w:link w:val="Heading1Char"/>
    <w:uiPriority w:val="9"/>
    <w:qFormat/>
    <w:rsid w:val="00E55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CBA"/>
    <w:rPr>
      <w:rFonts w:eastAsiaTheme="majorEastAsia" w:cstheme="majorBidi"/>
      <w:color w:val="272727" w:themeColor="text1" w:themeTint="D8"/>
    </w:rPr>
  </w:style>
  <w:style w:type="paragraph" w:styleId="Title">
    <w:name w:val="Title"/>
    <w:basedOn w:val="Normal"/>
    <w:next w:val="Normal"/>
    <w:link w:val="TitleChar"/>
    <w:uiPriority w:val="10"/>
    <w:qFormat/>
    <w:rsid w:val="00E55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CBA"/>
    <w:pPr>
      <w:spacing w:before="160"/>
      <w:jc w:val="center"/>
    </w:pPr>
    <w:rPr>
      <w:i/>
      <w:iCs/>
      <w:color w:val="404040" w:themeColor="text1" w:themeTint="BF"/>
    </w:rPr>
  </w:style>
  <w:style w:type="character" w:customStyle="1" w:styleId="QuoteChar">
    <w:name w:val="Quote Char"/>
    <w:basedOn w:val="DefaultParagraphFont"/>
    <w:link w:val="Quote"/>
    <w:uiPriority w:val="29"/>
    <w:rsid w:val="00E55CBA"/>
    <w:rPr>
      <w:i/>
      <w:iCs/>
      <w:color w:val="404040" w:themeColor="text1" w:themeTint="BF"/>
    </w:rPr>
  </w:style>
  <w:style w:type="paragraph" w:styleId="ListParagraph">
    <w:name w:val="List Paragraph"/>
    <w:basedOn w:val="Normal"/>
    <w:uiPriority w:val="34"/>
    <w:qFormat/>
    <w:rsid w:val="00E55CBA"/>
    <w:pPr>
      <w:ind w:left="720"/>
      <w:contextualSpacing/>
    </w:pPr>
  </w:style>
  <w:style w:type="character" w:styleId="IntenseEmphasis">
    <w:name w:val="Intense Emphasis"/>
    <w:basedOn w:val="DefaultParagraphFont"/>
    <w:uiPriority w:val="21"/>
    <w:qFormat/>
    <w:rsid w:val="00E55CBA"/>
    <w:rPr>
      <w:i/>
      <w:iCs/>
      <w:color w:val="0F4761" w:themeColor="accent1" w:themeShade="BF"/>
    </w:rPr>
  </w:style>
  <w:style w:type="paragraph" w:styleId="IntenseQuote">
    <w:name w:val="Intense Quote"/>
    <w:basedOn w:val="Normal"/>
    <w:next w:val="Normal"/>
    <w:link w:val="IntenseQuoteChar"/>
    <w:uiPriority w:val="30"/>
    <w:qFormat/>
    <w:rsid w:val="00E55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CBA"/>
    <w:rPr>
      <w:i/>
      <w:iCs/>
      <w:color w:val="0F4761" w:themeColor="accent1" w:themeShade="BF"/>
    </w:rPr>
  </w:style>
  <w:style w:type="character" w:styleId="IntenseReference">
    <w:name w:val="Intense Reference"/>
    <w:basedOn w:val="DefaultParagraphFont"/>
    <w:uiPriority w:val="32"/>
    <w:qFormat/>
    <w:rsid w:val="00E55CBA"/>
    <w:rPr>
      <w:b/>
      <w:bCs/>
      <w:smallCaps/>
      <w:color w:val="0F4761" w:themeColor="accent1" w:themeShade="BF"/>
      <w:spacing w:val="5"/>
    </w:rPr>
  </w:style>
  <w:style w:type="character" w:styleId="Hyperlink">
    <w:name w:val="Hyperlink"/>
    <w:basedOn w:val="DefaultParagraphFont"/>
    <w:uiPriority w:val="99"/>
    <w:unhideWhenUsed/>
    <w:rsid w:val="007A5C13"/>
    <w:rPr>
      <w:color w:val="467886" w:themeColor="hyperlink"/>
      <w:u w:val="single"/>
    </w:rPr>
  </w:style>
  <w:style w:type="character" w:styleId="UnresolvedMention">
    <w:name w:val="Unresolved Mention"/>
    <w:basedOn w:val="DefaultParagraphFont"/>
    <w:uiPriority w:val="99"/>
    <w:semiHidden/>
    <w:unhideWhenUsed/>
    <w:rsid w:val="007A5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topics-and-sectors/decent-work-and-2030-agenda-sustainable-developmen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wto.org/english/thewto_e/history_e/history_e.ht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eforum.org/stories/2026/01/future-global-trade-patchwork-model/" TargetMode="External"/><Relationship Id="rId5" Type="http://schemas.openxmlformats.org/officeDocument/2006/relationships/settings" Target="settings.xml"/><Relationship Id="rId10" Type="http://schemas.openxmlformats.org/officeDocument/2006/relationships/hyperlink" Target="https://www.oecd.org/en/publications/globalisation-and-labour-markets_057638253043.html" TargetMode="External"/><Relationship Id="rId4" Type="http://schemas.openxmlformats.org/officeDocument/2006/relationships/styles" Target="styles.xml"/><Relationship Id="rId9" Type="http://schemas.openxmlformats.org/officeDocument/2006/relationships/hyperlink" Target="https://www.un.org/en/d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1ED4C-FA51-4633-BAD6-B3869213E339}">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2.xml><?xml version="1.0" encoding="utf-8"?>
<ds:datastoreItem xmlns:ds="http://schemas.openxmlformats.org/officeDocument/2006/customXml" ds:itemID="{9E4EAC41-F4CC-4BE5-88A9-D9EEC02902B5}">
  <ds:schemaRefs>
    <ds:schemaRef ds:uri="http://schemas.microsoft.com/sharepoint/v3/contenttype/forms"/>
  </ds:schemaRefs>
</ds:datastoreItem>
</file>

<file path=customXml/itemProps3.xml><?xml version="1.0" encoding="utf-8"?>
<ds:datastoreItem xmlns:ds="http://schemas.openxmlformats.org/officeDocument/2006/customXml" ds:itemID="{F3F363B5-F731-4F43-89F0-758091D36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Younas (J6JW)</dc:creator>
  <cp:keywords/>
  <dc:description/>
  <cp:lastModifiedBy>Kiyah-Louise Lopez (S6SN)</cp:lastModifiedBy>
  <cp:revision>6</cp:revision>
  <dcterms:created xsi:type="dcterms:W3CDTF">2025-12-21T20:33:00Z</dcterms:created>
  <dcterms:modified xsi:type="dcterms:W3CDTF">2026-01-26T21:44:00Z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