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7E5C" w14:textId="539E607B" w:rsidR="00CB3504" w:rsidRPr="005F1BF9" w:rsidRDefault="004E13D4">
      <w:pPr>
        <w:pStyle w:val="Heading1"/>
        <w:rPr>
          <w:rFonts w:ascii="Gill Sans MT" w:hAnsi="Gill Sans MT"/>
          <w:color w:val="000000" w:themeColor="text1"/>
          <w:sz w:val="32"/>
          <w:szCs w:val="32"/>
        </w:rPr>
      </w:pPr>
      <w:r>
        <w:rPr>
          <w:rFonts w:ascii="Gill Sans MT" w:hAnsi="Gill Sans MT"/>
          <w:color w:val="000000" w:themeColor="text1"/>
          <w:sz w:val="32"/>
          <w:szCs w:val="32"/>
        </w:rPr>
        <w:t xml:space="preserve">The Issue of </w:t>
      </w:r>
      <w:r w:rsidR="009D1BEC" w:rsidRPr="005F1BF9">
        <w:rPr>
          <w:rFonts w:ascii="Gill Sans MT" w:hAnsi="Gill Sans MT"/>
          <w:color w:val="000000" w:themeColor="text1"/>
          <w:sz w:val="32"/>
          <w:szCs w:val="32"/>
        </w:rPr>
        <w:t>Sustainable Innovation and Building Climate-Resilient Economies Through Green Technology</w:t>
      </w:r>
    </w:p>
    <w:p w14:paraId="7B59FB78" w14:textId="77777777" w:rsidR="0031054C" w:rsidRPr="005F1BF9" w:rsidRDefault="0031054C" w:rsidP="0031054C">
      <w:pPr>
        <w:rPr>
          <w:rFonts w:ascii="Gill Sans MT" w:hAnsi="Gill Sans MT"/>
          <w:sz w:val="26"/>
          <w:szCs w:val="26"/>
        </w:rPr>
      </w:pPr>
    </w:p>
    <w:p w14:paraId="6E9C994B" w14:textId="4EF27820" w:rsidR="0031054C" w:rsidRPr="005F1BF9" w:rsidRDefault="0031054C" w:rsidP="0031054C">
      <w:pPr>
        <w:rPr>
          <w:rFonts w:ascii="Gill Sans MT" w:hAnsi="Gill Sans MT"/>
          <w:sz w:val="26"/>
          <w:szCs w:val="26"/>
        </w:rPr>
      </w:pPr>
      <w:r w:rsidRPr="005F1BF9">
        <w:rPr>
          <w:rFonts w:ascii="Gill Sans MT" w:hAnsi="Gill Sans MT"/>
          <w:sz w:val="26"/>
          <w:szCs w:val="26"/>
        </w:rPr>
        <w:t>Climate change is no longer a projected risk but a current economic stressor. Extreme weather events, supply chain disruption, food insecurity, and energy volatility are imposing measurable costs on national economies. According to the World Bank, climate-related shocks could push over 130 million people into poverty by 2030, primarily in low- and middle-income states. Traditional growth models that rely on carbon-intensive production have shown limited capacity to absorb these shocks. As a result, economic resilience has become inseparable from climate adaptation and mitigation.</w:t>
      </w:r>
      <w:r w:rsidRPr="005F1BF9">
        <w:rPr>
          <w:rFonts w:ascii="Gill Sans MT" w:hAnsi="Gill Sans MT"/>
          <w:sz w:val="26"/>
          <w:szCs w:val="26"/>
        </w:rPr>
        <w:br/>
      </w:r>
      <w:r w:rsidRPr="005F1BF9">
        <w:rPr>
          <w:rFonts w:ascii="Gill Sans MT" w:hAnsi="Gill Sans MT"/>
          <w:sz w:val="26"/>
          <w:szCs w:val="26"/>
        </w:rPr>
        <w:br/>
        <w:t xml:space="preserve">Green technology refers to innovations that reduce environmental harm while supporting economic productivity. This includes renewable energy systems, energy storage, climate-smart agriculture, green hydrogen, carbon capture, and digital tools that </w:t>
      </w:r>
      <w:proofErr w:type="spellStart"/>
      <w:r w:rsidRPr="005F1BF9">
        <w:rPr>
          <w:rFonts w:ascii="Gill Sans MT" w:hAnsi="Gill Sans MT"/>
          <w:sz w:val="26"/>
          <w:szCs w:val="26"/>
        </w:rPr>
        <w:t>optimise</w:t>
      </w:r>
      <w:proofErr w:type="spellEnd"/>
      <w:r w:rsidRPr="005F1BF9">
        <w:rPr>
          <w:rFonts w:ascii="Gill Sans MT" w:hAnsi="Gill Sans MT"/>
          <w:sz w:val="26"/>
          <w:szCs w:val="26"/>
        </w:rPr>
        <w:t xml:space="preserve"> resource use. The transition toward these technologies is uneven. Developed economies dominate patents, manufacturing capacity, and financing, while many developing states face barriers relating to cost, infrastructure, and skills.</w:t>
      </w:r>
      <w:r w:rsidRPr="005F1BF9">
        <w:rPr>
          <w:rFonts w:ascii="Gill Sans MT" w:hAnsi="Gill Sans MT"/>
          <w:sz w:val="26"/>
          <w:szCs w:val="26"/>
        </w:rPr>
        <w:br/>
        <w:t xml:space="preserve">Climate-resilient economies are those capable of maintaining growth and social stability under environmental stress. Green technology contributes to this resilience in three main ways. First, </w:t>
      </w:r>
      <w:proofErr w:type="spellStart"/>
      <w:r w:rsidR="005F1BF9" w:rsidRPr="005F1BF9">
        <w:rPr>
          <w:rFonts w:ascii="Gill Sans MT" w:hAnsi="Gill Sans MT"/>
          <w:sz w:val="26"/>
          <w:szCs w:val="26"/>
        </w:rPr>
        <w:t>decentrali</w:t>
      </w:r>
      <w:r w:rsidR="005F1BF9">
        <w:rPr>
          <w:rFonts w:ascii="Gill Sans MT" w:hAnsi="Gill Sans MT"/>
          <w:sz w:val="26"/>
          <w:szCs w:val="26"/>
        </w:rPr>
        <w:t>s</w:t>
      </w:r>
      <w:r w:rsidR="005F1BF9" w:rsidRPr="005F1BF9">
        <w:rPr>
          <w:rFonts w:ascii="Gill Sans MT" w:hAnsi="Gill Sans MT"/>
          <w:sz w:val="26"/>
          <w:szCs w:val="26"/>
        </w:rPr>
        <w:t>ed</w:t>
      </w:r>
      <w:proofErr w:type="spellEnd"/>
      <w:r w:rsidRPr="005F1BF9">
        <w:rPr>
          <w:rFonts w:ascii="Gill Sans MT" w:hAnsi="Gill Sans MT"/>
          <w:sz w:val="26"/>
          <w:szCs w:val="26"/>
        </w:rPr>
        <w:t xml:space="preserve"> renewable energy reduces dependence on volatile fossil fuel markets and improves energy security. Second</w:t>
      </w:r>
      <w:r w:rsidR="000F6B2B">
        <w:rPr>
          <w:rFonts w:ascii="Gill Sans MT" w:hAnsi="Gill Sans MT"/>
          <w:sz w:val="26"/>
          <w:szCs w:val="26"/>
        </w:rPr>
        <w:t>ly</w:t>
      </w:r>
      <w:r w:rsidRPr="005F1BF9">
        <w:rPr>
          <w:rFonts w:ascii="Gill Sans MT" w:hAnsi="Gill Sans MT"/>
          <w:sz w:val="26"/>
          <w:szCs w:val="26"/>
        </w:rPr>
        <w:t xml:space="preserve">, </w:t>
      </w:r>
      <w:proofErr w:type="gramStart"/>
      <w:r w:rsidR="005F1BF9" w:rsidRPr="005F1BF9">
        <w:rPr>
          <w:rFonts w:ascii="Gill Sans MT" w:hAnsi="Gill Sans MT"/>
          <w:sz w:val="26"/>
          <w:szCs w:val="26"/>
        </w:rPr>
        <w:t>efficien</w:t>
      </w:r>
      <w:r w:rsidR="000F6B2B">
        <w:rPr>
          <w:rFonts w:ascii="Gill Sans MT" w:hAnsi="Gill Sans MT"/>
          <w:sz w:val="26"/>
          <w:szCs w:val="26"/>
        </w:rPr>
        <w:t>cy</w:t>
      </w:r>
      <w:proofErr w:type="gramEnd"/>
      <w:r w:rsidRPr="005F1BF9">
        <w:rPr>
          <w:rFonts w:ascii="Gill Sans MT" w:hAnsi="Gill Sans MT"/>
          <w:sz w:val="26"/>
          <w:szCs w:val="26"/>
        </w:rPr>
        <w:t xml:space="preserve"> technologies lower long-term operational costs for industry and public services. Third, green sectors generate new employment opportunities, particularly in manufacturing, installation, and maintenance.</w:t>
      </w:r>
      <w:r w:rsidRPr="005F1BF9">
        <w:rPr>
          <w:rFonts w:ascii="Gill Sans MT" w:hAnsi="Gill Sans MT"/>
          <w:sz w:val="26"/>
          <w:szCs w:val="26"/>
        </w:rPr>
        <w:br/>
      </w:r>
      <w:r w:rsidRPr="005F1BF9">
        <w:rPr>
          <w:rFonts w:ascii="Gill Sans MT" w:hAnsi="Gill Sans MT"/>
          <w:sz w:val="26"/>
          <w:szCs w:val="26"/>
        </w:rPr>
        <w:br/>
        <w:t xml:space="preserve">However, the upfront capital requirements remain high. Green infrastructure projects often require long investment horizons that are unattractive to private capital without public guarantees. In addition, many states lack regulatory clarity, which increases investor risk. There is also a skills gap, as workforces trained for fossil fuel industries may not easily transition to green sectors without targeted retraining </w:t>
      </w:r>
      <w:proofErr w:type="spellStart"/>
      <w:r w:rsidRPr="005F1BF9">
        <w:rPr>
          <w:rFonts w:ascii="Gill Sans MT" w:hAnsi="Gill Sans MT"/>
          <w:sz w:val="26"/>
          <w:szCs w:val="26"/>
        </w:rPr>
        <w:t>programmes</w:t>
      </w:r>
      <w:proofErr w:type="spellEnd"/>
      <w:r w:rsidRPr="005F1BF9">
        <w:rPr>
          <w:rFonts w:ascii="Gill Sans MT" w:hAnsi="Gill Sans MT"/>
          <w:sz w:val="26"/>
          <w:szCs w:val="26"/>
        </w:rPr>
        <w:t>.</w:t>
      </w:r>
      <w:r w:rsidRPr="005F1BF9">
        <w:rPr>
          <w:rFonts w:ascii="Gill Sans MT" w:hAnsi="Gill Sans MT"/>
          <w:sz w:val="26"/>
          <w:szCs w:val="26"/>
        </w:rPr>
        <w:br/>
      </w:r>
      <w:r w:rsidRPr="005F1BF9">
        <w:rPr>
          <w:rFonts w:ascii="Gill Sans MT" w:hAnsi="Gill Sans MT"/>
          <w:sz w:val="26"/>
          <w:szCs w:val="26"/>
        </w:rPr>
        <w:br/>
        <w:t xml:space="preserve">Several multilateral instruments provide a foundation for action. The Paris </w:t>
      </w:r>
      <w:r w:rsidRPr="005F1BF9">
        <w:rPr>
          <w:rFonts w:ascii="Gill Sans MT" w:hAnsi="Gill Sans MT"/>
          <w:sz w:val="26"/>
          <w:szCs w:val="26"/>
        </w:rPr>
        <w:lastRenderedPageBreak/>
        <w:t xml:space="preserve">Agreement </w:t>
      </w:r>
      <w:proofErr w:type="gramStart"/>
      <w:r w:rsidRPr="005F1BF9">
        <w:rPr>
          <w:rFonts w:ascii="Gill Sans MT" w:hAnsi="Gill Sans MT"/>
          <w:sz w:val="26"/>
          <w:szCs w:val="26"/>
        </w:rPr>
        <w:t>commits states</w:t>
      </w:r>
      <w:proofErr w:type="gramEnd"/>
      <w:r w:rsidRPr="005F1BF9">
        <w:rPr>
          <w:rFonts w:ascii="Gill Sans MT" w:hAnsi="Gill Sans MT"/>
          <w:sz w:val="26"/>
          <w:szCs w:val="26"/>
        </w:rPr>
        <w:t xml:space="preserve"> to nationally determined contributions but leaves implementation mechanisms largely at the national level. The Sustainable Development Goals, particularly Goals 7, 9, 12, and 13, link clean energy, innovation, and climate action. Existing climate finance mechanisms such as the Green Climate Fund aim to support developing states, though access and scale remain contested.</w:t>
      </w:r>
      <w:r w:rsidR="000F6B2B">
        <w:rPr>
          <w:rFonts w:ascii="Gill Sans MT" w:hAnsi="Gill Sans MT"/>
          <w:sz w:val="26"/>
          <w:szCs w:val="26"/>
        </w:rPr>
        <w:t xml:space="preserve"> </w:t>
      </w:r>
      <w:r w:rsidRPr="005F1BF9">
        <w:rPr>
          <w:rFonts w:ascii="Gill Sans MT" w:hAnsi="Gill Sans MT"/>
          <w:sz w:val="26"/>
          <w:szCs w:val="26"/>
        </w:rPr>
        <w:t>Technology transfer provisions under international environmental law remain weakly enforced. Intellectual property regimes can limit access to green technologies, raising concerns about equity and global diffusion.</w:t>
      </w:r>
    </w:p>
    <w:p w14:paraId="1D38F38C" w14:textId="77777777" w:rsidR="0031054C" w:rsidRPr="005F1BF9" w:rsidRDefault="0031054C" w:rsidP="0031054C">
      <w:pPr>
        <w:rPr>
          <w:rFonts w:ascii="Gill Sans MT" w:hAnsi="Gill Sans MT"/>
          <w:sz w:val="26"/>
          <w:szCs w:val="26"/>
        </w:rPr>
      </w:pPr>
    </w:p>
    <w:p w14:paraId="47E48B90" w14:textId="688AF31B" w:rsidR="00FA47A2" w:rsidRPr="000F6B2B" w:rsidRDefault="0031054C" w:rsidP="000F6B2B">
      <w:pPr>
        <w:rPr>
          <w:rFonts w:ascii="Gill Sans MT" w:hAnsi="Gill Sans MT"/>
          <w:sz w:val="26"/>
          <w:szCs w:val="26"/>
        </w:rPr>
      </w:pPr>
      <w:r w:rsidRPr="005F1BF9">
        <w:rPr>
          <w:rFonts w:ascii="Gill Sans MT" w:hAnsi="Gill Sans MT"/>
          <w:sz w:val="26"/>
          <w:szCs w:val="26"/>
        </w:rPr>
        <w:t xml:space="preserve">Key challenges include balancing economic competitiveness with environmental regulation, managing job displacement in carbon-intensive sectors, and ensuring that green growth does not exacerbate inequality. States reliant on fossil fuel exports face </w:t>
      </w:r>
      <w:proofErr w:type="gramStart"/>
      <w:r w:rsidRPr="005F1BF9">
        <w:rPr>
          <w:rFonts w:ascii="Gill Sans MT" w:hAnsi="Gill Sans MT"/>
          <w:sz w:val="26"/>
          <w:szCs w:val="26"/>
        </w:rPr>
        <w:t>particular fiscal</w:t>
      </w:r>
      <w:proofErr w:type="gramEnd"/>
      <w:r w:rsidRPr="005F1BF9">
        <w:rPr>
          <w:rFonts w:ascii="Gill Sans MT" w:hAnsi="Gill Sans MT"/>
          <w:sz w:val="26"/>
          <w:szCs w:val="26"/>
        </w:rPr>
        <w:t xml:space="preserve"> risks during transition periods. Without coordinated policy planning, green transitions may create regional economic disparities rather than resilience.</w:t>
      </w:r>
      <w:r w:rsidRPr="005F1BF9">
        <w:rPr>
          <w:rFonts w:ascii="Gill Sans MT" w:hAnsi="Gill Sans MT"/>
          <w:sz w:val="26"/>
          <w:szCs w:val="26"/>
        </w:rPr>
        <w:br/>
      </w:r>
    </w:p>
    <w:p w14:paraId="789488A8" w14:textId="46F747E1" w:rsidR="00CB3504" w:rsidRPr="005F1BF9" w:rsidRDefault="009D1BEC">
      <w:pPr>
        <w:pStyle w:val="Heading2"/>
        <w:rPr>
          <w:rFonts w:ascii="Gill Sans MT" w:hAnsi="Gill Sans MT"/>
          <w:color w:val="000000" w:themeColor="text1"/>
        </w:rPr>
      </w:pPr>
      <w:r w:rsidRPr="005F1BF9">
        <w:rPr>
          <w:rFonts w:ascii="Gill Sans MT" w:hAnsi="Gill Sans MT"/>
          <w:color w:val="000000" w:themeColor="text1"/>
        </w:rPr>
        <w:t>Points to Consider</w:t>
      </w:r>
      <w:r w:rsidR="000F6B2B">
        <w:rPr>
          <w:rFonts w:ascii="Gill Sans MT" w:hAnsi="Gill Sans MT"/>
          <w:color w:val="000000" w:themeColor="text1"/>
        </w:rPr>
        <w:t>:</w:t>
      </w:r>
    </w:p>
    <w:p w14:paraId="754B820D" w14:textId="39FB01A7" w:rsidR="00CB3504" w:rsidRPr="005F1BF9" w:rsidRDefault="76E97A6C">
      <w:pPr>
        <w:pStyle w:val="ListBullet"/>
        <w:rPr>
          <w:rFonts w:ascii="Gill Sans MT" w:hAnsi="Gill Sans MT"/>
          <w:sz w:val="26"/>
          <w:szCs w:val="26"/>
        </w:rPr>
      </w:pPr>
      <w:r w:rsidRPr="005F1BF9">
        <w:rPr>
          <w:rFonts w:ascii="Gill Sans MT" w:hAnsi="Gill Sans MT"/>
          <w:sz w:val="26"/>
          <w:szCs w:val="26"/>
        </w:rPr>
        <w:t>How</w:t>
      </w:r>
      <w:r w:rsidR="000F6B2B">
        <w:rPr>
          <w:rFonts w:ascii="Gill Sans MT" w:hAnsi="Gill Sans MT"/>
          <w:sz w:val="26"/>
          <w:szCs w:val="26"/>
        </w:rPr>
        <w:t xml:space="preserve"> can</w:t>
      </w:r>
      <w:r w:rsidRPr="005F1BF9">
        <w:rPr>
          <w:rFonts w:ascii="Gill Sans MT" w:hAnsi="Gill Sans MT"/>
          <w:sz w:val="26"/>
          <w:szCs w:val="26"/>
        </w:rPr>
        <w:t xml:space="preserve"> states </w:t>
      </w:r>
      <w:proofErr w:type="spellStart"/>
      <w:r w:rsidRPr="005F1BF9">
        <w:rPr>
          <w:rFonts w:ascii="Gill Sans MT" w:hAnsi="Gill Sans MT"/>
          <w:sz w:val="26"/>
          <w:szCs w:val="26"/>
        </w:rPr>
        <w:t>mobilise</w:t>
      </w:r>
      <w:proofErr w:type="spellEnd"/>
      <w:r w:rsidRPr="005F1BF9">
        <w:rPr>
          <w:rFonts w:ascii="Gill Sans MT" w:hAnsi="Gill Sans MT"/>
          <w:sz w:val="26"/>
          <w:szCs w:val="26"/>
        </w:rPr>
        <w:t xml:space="preserve"> public and private finance to reduce the upfront cost of green infrastructure</w:t>
      </w:r>
      <w:r w:rsidR="3C1692F1" w:rsidRPr="005F1BF9">
        <w:rPr>
          <w:rFonts w:ascii="Gill Sans MT" w:hAnsi="Gill Sans MT"/>
          <w:sz w:val="26"/>
          <w:szCs w:val="26"/>
        </w:rPr>
        <w:t>?</w:t>
      </w:r>
    </w:p>
    <w:p w14:paraId="6CC911A6" w14:textId="55DC7177" w:rsidR="00CB3504" w:rsidRPr="005F1BF9" w:rsidRDefault="3C1692F1">
      <w:pPr>
        <w:pStyle w:val="ListBullet"/>
        <w:rPr>
          <w:rFonts w:ascii="Gill Sans MT" w:hAnsi="Gill Sans MT"/>
          <w:sz w:val="26"/>
          <w:szCs w:val="26"/>
        </w:rPr>
      </w:pPr>
      <w:r w:rsidRPr="005F1BF9">
        <w:rPr>
          <w:rFonts w:ascii="Gill Sans MT" w:hAnsi="Gill Sans MT"/>
          <w:sz w:val="26"/>
          <w:szCs w:val="26"/>
        </w:rPr>
        <w:t>What m</w:t>
      </w:r>
      <w:r w:rsidR="76E97A6C" w:rsidRPr="005F1BF9">
        <w:rPr>
          <w:rFonts w:ascii="Gill Sans MT" w:hAnsi="Gill Sans MT"/>
          <w:sz w:val="26"/>
          <w:szCs w:val="26"/>
        </w:rPr>
        <w:t>echanisms</w:t>
      </w:r>
      <w:r w:rsidR="06CBA3A1" w:rsidRPr="005F1BF9">
        <w:rPr>
          <w:rFonts w:ascii="Gill Sans MT" w:hAnsi="Gill Sans MT"/>
          <w:sz w:val="26"/>
          <w:szCs w:val="26"/>
        </w:rPr>
        <w:t xml:space="preserve"> can be used</w:t>
      </w:r>
      <w:r w:rsidR="76E97A6C" w:rsidRPr="005F1BF9">
        <w:rPr>
          <w:rFonts w:ascii="Gill Sans MT" w:hAnsi="Gill Sans MT"/>
          <w:sz w:val="26"/>
          <w:szCs w:val="26"/>
        </w:rPr>
        <w:t xml:space="preserve"> to support technology transfer without undermining </w:t>
      </w:r>
      <w:proofErr w:type="gramStart"/>
      <w:r w:rsidR="76E97A6C" w:rsidRPr="005F1BF9">
        <w:rPr>
          <w:rFonts w:ascii="Gill Sans MT" w:hAnsi="Gill Sans MT"/>
          <w:sz w:val="26"/>
          <w:szCs w:val="26"/>
        </w:rPr>
        <w:t>innovation</w:t>
      </w:r>
      <w:proofErr w:type="gramEnd"/>
      <w:r w:rsidR="76E97A6C" w:rsidRPr="005F1BF9">
        <w:rPr>
          <w:rFonts w:ascii="Gill Sans MT" w:hAnsi="Gill Sans MT"/>
          <w:sz w:val="26"/>
          <w:szCs w:val="26"/>
        </w:rPr>
        <w:t xml:space="preserve"> incentives</w:t>
      </w:r>
      <w:r w:rsidR="7F0F2649" w:rsidRPr="005F1BF9">
        <w:rPr>
          <w:rFonts w:ascii="Gill Sans MT" w:hAnsi="Gill Sans MT"/>
          <w:sz w:val="26"/>
          <w:szCs w:val="26"/>
        </w:rPr>
        <w:t>?</w:t>
      </w:r>
    </w:p>
    <w:p w14:paraId="78B700EA" w14:textId="733316C8" w:rsidR="00CB3504" w:rsidRPr="005F1BF9" w:rsidRDefault="00875A24">
      <w:pPr>
        <w:pStyle w:val="ListBullet"/>
        <w:rPr>
          <w:rFonts w:ascii="Gill Sans MT" w:hAnsi="Gill Sans MT"/>
          <w:sz w:val="26"/>
          <w:szCs w:val="26"/>
        </w:rPr>
      </w:pPr>
      <w:r>
        <w:rPr>
          <w:rFonts w:ascii="Gill Sans MT" w:hAnsi="Gill Sans MT"/>
          <w:sz w:val="26"/>
          <w:szCs w:val="26"/>
        </w:rPr>
        <w:t>What s</w:t>
      </w:r>
      <w:r w:rsidR="009D1BEC" w:rsidRPr="005F1BF9">
        <w:rPr>
          <w:rFonts w:ascii="Gill Sans MT" w:hAnsi="Gill Sans MT"/>
          <w:sz w:val="26"/>
          <w:szCs w:val="26"/>
        </w:rPr>
        <w:t>trategies</w:t>
      </w:r>
      <w:r>
        <w:rPr>
          <w:rFonts w:ascii="Gill Sans MT" w:hAnsi="Gill Sans MT"/>
          <w:sz w:val="26"/>
          <w:szCs w:val="26"/>
        </w:rPr>
        <w:t xml:space="preserve"> can be taken</w:t>
      </w:r>
      <w:r w:rsidR="009D1BEC" w:rsidRPr="005F1BF9">
        <w:rPr>
          <w:rFonts w:ascii="Gill Sans MT" w:hAnsi="Gill Sans MT"/>
          <w:sz w:val="26"/>
          <w:szCs w:val="26"/>
        </w:rPr>
        <w:t xml:space="preserve"> for reskilling workers from carbon-intensive sectors</w:t>
      </w:r>
      <w:r>
        <w:rPr>
          <w:rFonts w:ascii="Gill Sans MT" w:hAnsi="Gill Sans MT"/>
          <w:sz w:val="26"/>
          <w:szCs w:val="26"/>
        </w:rPr>
        <w:t>?</w:t>
      </w:r>
    </w:p>
    <w:p w14:paraId="1FAB1BB4" w14:textId="0F456214" w:rsidR="00CB3504" w:rsidRPr="005F1BF9" w:rsidRDefault="00875A24">
      <w:pPr>
        <w:pStyle w:val="ListBullet"/>
        <w:rPr>
          <w:rFonts w:ascii="Gill Sans MT" w:hAnsi="Gill Sans MT"/>
          <w:sz w:val="26"/>
          <w:szCs w:val="26"/>
        </w:rPr>
      </w:pPr>
      <w:r>
        <w:rPr>
          <w:rFonts w:ascii="Gill Sans MT" w:hAnsi="Gill Sans MT"/>
          <w:sz w:val="26"/>
          <w:szCs w:val="26"/>
        </w:rPr>
        <w:t>What could t</w:t>
      </w:r>
      <w:r w:rsidR="009D1BEC" w:rsidRPr="005F1BF9">
        <w:rPr>
          <w:rFonts w:ascii="Gill Sans MT" w:hAnsi="Gill Sans MT"/>
          <w:sz w:val="26"/>
          <w:szCs w:val="26"/>
        </w:rPr>
        <w:t>he role of regulatory certainty in attracting long-term green investment</w:t>
      </w:r>
      <w:r>
        <w:rPr>
          <w:rFonts w:ascii="Gill Sans MT" w:hAnsi="Gill Sans MT"/>
          <w:sz w:val="26"/>
          <w:szCs w:val="26"/>
        </w:rPr>
        <w:t xml:space="preserve"> be?</w:t>
      </w:r>
    </w:p>
    <w:p w14:paraId="02528443" w14:textId="6A8C579C" w:rsidR="00CB3504" w:rsidRDefault="00875A24">
      <w:pPr>
        <w:pStyle w:val="ListBullet"/>
        <w:rPr>
          <w:rFonts w:ascii="Gill Sans MT" w:hAnsi="Gill Sans MT"/>
          <w:sz w:val="26"/>
          <w:szCs w:val="26"/>
        </w:rPr>
      </w:pPr>
      <w:r>
        <w:rPr>
          <w:rFonts w:ascii="Gill Sans MT" w:hAnsi="Gill Sans MT"/>
          <w:sz w:val="26"/>
          <w:szCs w:val="26"/>
        </w:rPr>
        <w:t>How might one encourage e</w:t>
      </w:r>
      <w:r w:rsidR="009D1BEC" w:rsidRPr="005F1BF9">
        <w:rPr>
          <w:rFonts w:ascii="Gill Sans MT" w:hAnsi="Gill Sans MT"/>
          <w:sz w:val="26"/>
          <w:szCs w:val="26"/>
        </w:rPr>
        <w:t>quitable burden-sharing between developed and developing states</w:t>
      </w:r>
      <w:r>
        <w:rPr>
          <w:rFonts w:ascii="Gill Sans MT" w:hAnsi="Gill Sans MT"/>
          <w:sz w:val="26"/>
          <w:szCs w:val="26"/>
        </w:rPr>
        <w:t>?</w:t>
      </w:r>
    </w:p>
    <w:p w14:paraId="06424967" w14:textId="77777777" w:rsidR="00875A24" w:rsidRPr="005F1BF9" w:rsidRDefault="00875A24" w:rsidP="00875A24">
      <w:pPr>
        <w:pStyle w:val="ListBullet"/>
        <w:numPr>
          <w:ilvl w:val="0"/>
          <w:numId w:val="0"/>
        </w:numPr>
        <w:ind w:left="360" w:hanging="360"/>
        <w:rPr>
          <w:rFonts w:ascii="Gill Sans MT" w:hAnsi="Gill Sans MT"/>
          <w:sz w:val="26"/>
          <w:szCs w:val="26"/>
        </w:rPr>
      </w:pPr>
    </w:p>
    <w:p w14:paraId="32A8B6D6" w14:textId="6E7672AC" w:rsidR="00CB3504" w:rsidRPr="005F1BF9" w:rsidRDefault="00875A24">
      <w:pPr>
        <w:pStyle w:val="Heading2"/>
        <w:rPr>
          <w:rFonts w:ascii="Gill Sans MT" w:hAnsi="Gill Sans MT"/>
          <w:color w:val="000000" w:themeColor="text1"/>
        </w:rPr>
      </w:pPr>
      <w:r>
        <w:rPr>
          <w:rFonts w:ascii="Gill Sans MT" w:hAnsi="Gill Sans MT"/>
          <w:color w:val="000000" w:themeColor="text1"/>
        </w:rPr>
        <w:t>Relevant Resources:</w:t>
      </w:r>
    </w:p>
    <w:p w14:paraId="0D7B07F0" w14:textId="77777777" w:rsidR="00CB3504" w:rsidRPr="005F1BF9" w:rsidRDefault="009D1BEC">
      <w:pPr>
        <w:pStyle w:val="ListBullet"/>
        <w:rPr>
          <w:rFonts w:ascii="Gill Sans MT" w:hAnsi="Gill Sans MT"/>
          <w:sz w:val="26"/>
          <w:szCs w:val="26"/>
        </w:rPr>
      </w:pPr>
      <w:r w:rsidRPr="005F1BF9">
        <w:rPr>
          <w:rFonts w:ascii="Gill Sans MT" w:hAnsi="Gill Sans MT"/>
          <w:sz w:val="26"/>
          <w:szCs w:val="26"/>
        </w:rPr>
        <w:t>World Bank, Climate Change Action Plan</w:t>
      </w:r>
    </w:p>
    <w:p w14:paraId="43EC44A6" w14:textId="77777777" w:rsidR="00CB3504" w:rsidRPr="005F1BF9" w:rsidRDefault="009D1BEC">
      <w:pPr>
        <w:pStyle w:val="ListBullet"/>
        <w:rPr>
          <w:rFonts w:ascii="Gill Sans MT" w:hAnsi="Gill Sans MT"/>
          <w:sz w:val="26"/>
          <w:szCs w:val="26"/>
        </w:rPr>
      </w:pPr>
      <w:r w:rsidRPr="005F1BF9">
        <w:rPr>
          <w:rFonts w:ascii="Gill Sans MT" w:hAnsi="Gill Sans MT"/>
          <w:sz w:val="26"/>
          <w:szCs w:val="26"/>
        </w:rPr>
        <w:t>International Energy Agency, World Energy Outlook</w:t>
      </w:r>
    </w:p>
    <w:p w14:paraId="5A127290" w14:textId="77777777" w:rsidR="00CB3504" w:rsidRPr="005F1BF9" w:rsidRDefault="009D1BEC">
      <w:pPr>
        <w:pStyle w:val="ListBullet"/>
        <w:rPr>
          <w:rFonts w:ascii="Gill Sans MT" w:hAnsi="Gill Sans MT"/>
          <w:sz w:val="26"/>
          <w:szCs w:val="26"/>
        </w:rPr>
      </w:pPr>
      <w:r w:rsidRPr="005F1BF9">
        <w:rPr>
          <w:rFonts w:ascii="Gill Sans MT" w:hAnsi="Gill Sans MT"/>
          <w:sz w:val="26"/>
          <w:szCs w:val="26"/>
        </w:rPr>
        <w:t>UN Framework Convention on Climate Change, Technology Mechanism</w:t>
      </w:r>
    </w:p>
    <w:p w14:paraId="10C1EB7C" w14:textId="77777777" w:rsidR="00CB3504" w:rsidRPr="005F1BF9" w:rsidRDefault="009D1BEC">
      <w:pPr>
        <w:pStyle w:val="ListBullet"/>
        <w:rPr>
          <w:rFonts w:ascii="Gill Sans MT" w:hAnsi="Gill Sans MT"/>
          <w:sz w:val="26"/>
          <w:szCs w:val="26"/>
        </w:rPr>
      </w:pPr>
      <w:r w:rsidRPr="005F1BF9">
        <w:rPr>
          <w:rFonts w:ascii="Gill Sans MT" w:hAnsi="Gill Sans MT"/>
          <w:sz w:val="26"/>
          <w:szCs w:val="26"/>
        </w:rPr>
        <w:t>OECD, Financing Climate Futures</w:t>
      </w:r>
    </w:p>
    <w:sectPr w:rsidR="00CB3504" w:rsidRPr="005F1B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0269695">
    <w:abstractNumId w:val="8"/>
  </w:num>
  <w:num w:numId="2" w16cid:durableId="1007707925">
    <w:abstractNumId w:val="6"/>
  </w:num>
  <w:num w:numId="3" w16cid:durableId="1973486517">
    <w:abstractNumId w:val="5"/>
  </w:num>
  <w:num w:numId="4" w16cid:durableId="471554996">
    <w:abstractNumId w:val="4"/>
  </w:num>
  <w:num w:numId="5" w16cid:durableId="1785344770">
    <w:abstractNumId w:val="7"/>
  </w:num>
  <w:num w:numId="6" w16cid:durableId="1098214309">
    <w:abstractNumId w:val="3"/>
  </w:num>
  <w:num w:numId="7" w16cid:durableId="571042448">
    <w:abstractNumId w:val="2"/>
  </w:num>
  <w:num w:numId="8" w16cid:durableId="1192189647">
    <w:abstractNumId w:val="1"/>
  </w:num>
  <w:num w:numId="9" w16cid:durableId="80447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6B2B"/>
    <w:rsid w:val="0015074B"/>
    <w:rsid w:val="0029639D"/>
    <w:rsid w:val="0031054C"/>
    <w:rsid w:val="00326F90"/>
    <w:rsid w:val="004B4607"/>
    <w:rsid w:val="004E13D4"/>
    <w:rsid w:val="005E1610"/>
    <w:rsid w:val="005F1BF9"/>
    <w:rsid w:val="007A6905"/>
    <w:rsid w:val="00875A24"/>
    <w:rsid w:val="009D1BEC"/>
    <w:rsid w:val="009F6128"/>
    <w:rsid w:val="00A7294C"/>
    <w:rsid w:val="00AA1D8D"/>
    <w:rsid w:val="00B47730"/>
    <w:rsid w:val="00CB0664"/>
    <w:rsid w:val="00CB3504"/>
    <w:rsid w:val="00DD5F60"/>
    <w:rsid w:val="00FA47A2"/>
    <w:rsid w:val="00FC693F"/>
    <w:rsid w:val="06CBA3A1"/>
    <w:rsid w:val="0D5F95DD"/>
    <w:rsid w:val="0F9AD918"/>
    <w:rsid w:val="3C1692F1"/>
    <w:rsid w:val="76E97A6C"/>
    <w:rsid w:val="7F0F2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9649C"/>
  <w14:defaultImageDpi w14:val="300"/>
  <w15:docId w15:val="{54DC5B23-56FC-8547-B195-5B86E41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3A58-C6D5-4666-AED6-5D8FBE953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708ED-865D-465B-B6C9-01FFE27A3F5D}">
  <ds:schemaRefs>
    <ds:schemaRef ds:uri="http://schemas.microsoft.com/sharepoint/v3/contenttype/forms"/>
  </ds:schemaRefs>
</ds:datastoreItem>
</file>

<file path=customXml/itemProps3.xml><?xml version="1.0" encoding="utf-8"?>
<ds:datastoreItem xmlns:ds="http://schemas.openxmlformats.org/officeDocument/2006/customXml" ds:itemID="{0B083E59-3020-4182-B810-64B6A05CF813}">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3359</Characters>
  <Application>Microsoft Office Word</Application>
  <DocSecurity>0</DocSecurity>
  <Lines>27</Lines>
  <Paragraphs>7</Paragraphs>
  <ScaleCrop>false</ScaleCrop>
  <Manager/>
  <Company/>
  <LinksUpToDate>false</LinksUpToDate>
  <CharactersWithSpaces>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Kiyah-Louise Lopez (S6SN)</cp:lastModifiedBy>
  <cp:revision>9</cp:revision>
  <dcterms:created xsi:type="dcterms:W3CDTF">2025-12-19T14:00:00Z</dcterms:created>
  <dcterms:modified xsi:type="dcterms:W3CDTF">2026-01-26T20:38:00Z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