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83B40" w14:textId="6EF0AAE9" w:rsidR="00427711" w:rsidRPr="00546CAE" w:rsidRDefault="00427711" w:rsidP="00427711">
      <w:pPr>
        <w:pStyle w:val="paragraph"/>
        <w:spacing w:before="0" w:beforeAutospacing="0" w:after="0" w:afterAutospacing="0"/>
        <w:textAlignment w:val="baseline"/>
        <w:rPr>
          <w:rStyle w:val="eop"/>
          <w:rFonts w:ascii="Gill Sans MT" w:eastAsiaTheme="majorEastAsia" w:hAnsi="Gill Sans MT" w:cs="Segoe UI"/>
          <w:b/>
          <w:bCs/>
          <w:sz w:val="32"/>
          <w:szCs w:val="32"/>
        </w:rPr>
      </w:pPr>
      <w:r w:rsidRPr="00546CAE">
        <w:rPr>
          <w:rStyle w:val="normaltextrun"/>
          <w:rFonts w:ascii="Gill Sans MT" w:eastAsiaTheme="majorEastAsia" w:hAnsi="Gill Sans MT" w:cs="Segoe UI"/>
          <w:b/>
          <w:bCs/>
          <w:sz w:val="32"/>
          <w:szCs w:val="32"/>
        </w:rPr>
        <w:t>The Efficacy of the International Court of Justice</w:t>
      </w:r>
    </w:p>
    <w:p w14:paraId="5EC7D81A" w14:textId="77777777" w:rsidR="00427711" w:rsidRPr="00546CAE" w:rsidRDefault="00427711" w:rsidP="00427711">
      <w:pPr>
        <w:pStyle w:val="paragraph"/>
        <w:spacing w:before="0" w:beforeAutospacing="0" w:after="0" w:afterAutospacing="0"/>
        <w:textAlignment w:val="baseline"/>
        <w:rPr>
          <w:rFonts w:ascii="Gill Sans MT" w:eastAsiaTheme="majorEastAsia" w:hAnsi="Gill Sans MT" w:cs="Segoe UI"/>
          <w:sz w:val="26"/>
          <w:szCs w:val="26"/>
        </w:rPr>
      </w:pPr>
    </w:p>
    <w:p w14:paraId="0E7C886E" w14:textId="26F7DCF8" w:rsidR="00427711" w:rsidRPr="00546CAE" w:rsidRDefault="00427711" w:rsidP="00427711">
      <w:pPr>
        <w:pStyle w:val="paragraph"/>
        <w:spacing w:before="0" w:beforeAutospacing="0" w:after="0" w:afterAutospacing="0"/>
        <w:textAlignment w:val="baseline"/>
        <w:rPr>
          <w:rStyle w:val="normaltextrun"/>
          <w:rFonts w:ascii="Gill Sans MT" w:eastAsiaTheme="majorEastAsia" w:hAnsi="Gill Sans MT" w:cs="Segoe UI"/>
          <w:sz w:val="26"/>
          <w:szCs w:val="26"/>
        </w:rPr>
      </w:pPr>
      <w:r w:rsidRPr="00546CAE">
        <w:rPr>
          <w:rStyle w:val="normaltextrun"/>
          <w:rFonts w:ascii="Gill Sans MT" w:eastAsiaTheme="majorEastAsia" w:hAnsi="Gill Sans MT" w:cs="Segoe UI"/>
          <w:sz w:val="26"/>
          <w:szCs w:val="26"/>
        </w:rPr>
        <w:t>Efficacy refers to the ability to produce a desired intent or result. The International Court of Justice was established in June 1945 by the charter of the United Nations. The court’s role is to settle, in accordance with international law, legal disputes submitted to it by Member States and to give advisory opinions on legal questions referred to it by authorised United Nations organs and specialised agencies.</w:t>
      </w:r>
    </w:p>
    <w:p w14:paraId="13ECFD65" w14:textId="77777777" w:rsidR="00427711" w:rsidRPr="00546CAE" w:rsidRDefault="00427711" w:rsidP="00427711">
      <w:pPr>
        <w:pStyle w:val="paragraph"/>
        <w:spacing w:before="0" w:beforeAutospacing="0" w:after="0" w:afterAutospacing="0"/>
        <w:textAlignment w:val="baseline"/>
        <w:rPr>
          <w:rFonts w:ascii="Gill Sans MT" w:eastAsiaTheme="majorEastAsia" w:hAnsi="Gill Sans MT" w:cs="Segoe UI"/>
          <w:sz w:val="26"/>
          <w:szCs w:val="26"/>
        </w:rPr>
      </w:pPr>
    </w:p>
    <w:p w14:paraId="23BAC54F" w14:textId="6FC06C57" w:rsidR="00427711" w:rsidRPr="00546CAE" w:rsidRDefault="00427711" w:rsidP="00427711">
      <w:pPr>
        <w:pStyle w:val="paragraph"/>
        <w:spacing w:before="0" w:beforeAutospacing="0" w:after="0" w:afterAutospacing="0"/>
        <w:textAlignment w:val="baseline"/>
        <w:rPr>
          <w:rStyle w:val="normaltextrun"/>
          <w:rFonts w:ascii="Gill Sans MT" w:eastAsiaTheme="majorEastAsia" w:hAnsi="Gill Sans MT" w:cs="Segoe UI"/>
          <w:sz w:val="26"/>
          <w:szCs w:val="26"/>
        </w:rPr>
      </w:pPr>
      <w:r w:rsidRPr="00546CAE">
        <w:rPr>
          <w:rStyle w:val="normaltextrun"/>
          <w:rFonts w:ascii="Gill Sans MT" w:eastAsiaTheme="majorEastAsia" w:hAnsi="Gill Sans MT" w:cs="Segoe UI"/>
          <w:sz w:val="26"/>
          <w:szCs w:val="26"/>
        </w:rPr>
        <w:t>The ICJ is composed of fifteen judges who are elected to nine-year terms of office by the UN General Assembly. Elections are held every three years for 1/3 of the seats. It is prudent to note the judges do not represent their governments but are individual magistrates. However, no more than one judge of a certain nationality can be presiding at any one time.</w:t>
      </w:r>
    </w:p>
    <w:p w14:paraId="71E49B89" w14:textId="77777777" w:rsidR="00427711" w:rsidRPr="00546CAE" w:rsidRDefault="00427711" w:rsidP="00427711">
      <w:pPr>
        <w:pStyle w:val="paragraph"/>
        <w:spacing w:before="0" w:beforeAutospacing="0" w:after="0" w:afterAutospacing="0"/>
        <w:textAlignment w:val="baseline"/>
        <w:rPr>
          <w:rFonts w:ascii="Gill Sans MT" w:hAnsi="Gill Sans MT" w:cs="Segoe UI"/>
          <w:sz w:val="26"/>
          <w:szCs w:val="26"/>
        </w:rPr>
      </w:pPr>
    </w:p>
    <w:p w14:paraId="4F303433" w14:textId="187FD3BD" w:rsidR="00427711" w:rsidRPr="00546CAE" w:rsidRDefault="00427711" w:rsidP="00427711">
      <w:pPr>
        <w:pStyle w:val="paragraph"/>
        <w:spacing w:before="0" w:beforeAutospacing="0" w:after="0" w:afterAutospacing="0"/>
        <w:textAlignment w:val="baseline"/>
        <w:rPr>
          <w:rFonts w:ascii="Gill Sans MT" w:hAnsi="Gill Sans MT" w:cs="Segoe UI"/>
          <w:sz w:val="26"/>
          <w:szCs w:val="26"/>
        </w:rPr>
      </w:pPr>
      <w:r w:rsidRPr="00546CAE">
        <w:rPr>
          <w:rStyle w:val="normaltextrun"/>
          <w:rFonts w:ascii="Gill Sans MT" w:eastAsiaTheme="majorEastAsia" w:hAnsi="Gill Sans MT" w:cs="Segoe UI"/>
          <w:sz w:val="26"/>
          <w:szCs w:val="26"/>
        </w:rPr>
        <w:t>This poses several issues:</w:t>
      </w:r>
    </w:p>
    <w:p w14:paraId="2208D760" w14:textId="77777777" w:rsidR="00427711" w:rsidRPr="00546CAE" w:rsidRDefault="00427711" w:rsidP="00427711">
      <w:pPr>
        <w:pStyle w:val="paragraph"/>
        <w:spacing w:before="0" w:beforeAutospacing="0" w:after="0" w:afterAutospacing="0"/>
        <w:textAlignment w:val="baseline"/>
        <w:rPr>
          <w:rStyle w:val="normaltextrun"/>
          <w:rFonts w:ascii="Gill Sans MT" w:eastAsiaTheme="majorEastAsia" w:hAnsi="Gill Sans MT" w:cs="Segoe UI"/>
          <w:sz w:val="26"/>
          <w:szCs w:val="26"/>
        </w:rPr>
      </w:pPr>
    </w:p>
    <w:p w14:paraId="074F73D4" w14:textId="4ED13DCD" w:rsidR="00427711" w:rsidRPr="00546CAE" w:rsidRDefault="00427711" w:rsidP="00427711">
      <w:pPr>
        <w:pStyle w:val="paragraph"/>
        <w:spacing w:before="0" w:beforeAutospacing="0" w:after="0" w:afterAutospacing="0"/>
        <w:textAlignment w:val="baseline"/>
        <w:rPr>
          <w:rFonts w:ascii="Gill Sans MT" w:hAnsi="Gill Sans MT" w:cs="Segoe UI"/>
          <w:sz w:val="26"/>
          <w:szCs w:val="26"/>
        </w:rPr>
      </w:pPr>
      <w:r w:rsidRPr="00546CAE">
        <w:rPr>
          <w:rStyle w:val="normaltextrun"/>
          <w:rFonts w:ascii="Gill Sans MT" w:eastAsiaTheme="majorEastAsia" w:hAnsi="Gill Sans MT" w:cs="Segoe UI"/>
          <w:sz w:val="26"/>
          <w:szCs w:val="26"/>
        </w:rPr>
        <w:t>For example: in a 2019 case heard in the ICJ ruling whether the UK’s decolonisation of Mauritius had been completed, they ruled that under international law, it had not been lawfully completed, and the UK must therefore end its administration of the Chagos Islan</w:t>
      </w:r>
      <w:r w:rsidR="003E5EA7" w:rsidRPr="00546CAE">
        <w:rPr>
          <w:rStyle w:val="normaltextrun"/>
          <w:rFonts w:ascii="Gill Sans MT" w:eastAsiaTheme="majorEastAsia" w:hAnsi="Gill Sans MT" w:cs="Segoe UI"/>
          <w:sz w:val="26"/>
          <w:szCs w:val="26"/>
        </w:rPr>
        <w:t>ds.</w:t>
      </w:r>
      <w:r w:rsidRPr="00546CAE">
        <w:rPr>
          <w:rStyle w:val="normaltextrun"/>
          <w:rFonts w:ascii="Gill Sans MT" w:eastAsiaTheme="majorEastAsia" w:hAnsi="Gill Sans MT" w:cs="Segoe UI"/>
          <w:sz w:val="26"/>
          <w:szCs w:val="26"/>
        </w:rPr>
        <w:t> However, this has since been rejected on appeal</w:t>
      </w:r>
      <w:r w:rsidR="003E5EA7" w:rsidRPr="00546CAE">
        <w:rPr>
          <w:rStyle w:val="normaltextrun"/>
          <w:rFonts w:ascii="Gill Sans MT" w:eastAsiaTheme="majorEastAsia" w:hAnsi="Gill Sans MT" w:cs="Segoe UI"/>
          <w:sz w:val="26"/>
          <w:szCs w:val="26"/>
        </w:rPr>
        <w:t>,</w:t>
      </w:r>
      <w:r w:rsidRPr="00546CAE">
        <w:rPr>
          <w:rStyle w:val="normaltextrun"/>
          <w:rFonts w:ascii="Gill Sans MT" w:eastAsiaTheme="majorEastAsia" w:hAnsi="Gill Sans MT" w:cs="Segoe UI"/>
          <w:sz w:val="26"/>
          <w:szCs w:val="26"/>
        </w:rPr>
        <w:t xml:space="preserve"> ruling that the </w:t>
      </w:r>
      <w:r w:rsidR="00752184" w:rsidRPr="00546CAE">
        <w:rPr>
          <w:rStyle w:val="normaltextrun"/>
          <w:rFonts w:ascii="Gill Sans MT" w:eastAsiaTheme="majorEastAsia" w:hAnsi="Gill Sans MT" w:cs="Segoe UI"/>
          <w:sz w:val="26"/>
          <w:szCs w:val="26"/>
        </w:rPr>
        <w:t xml:space="preserve">UK’s </w:t>
      </w:r>
      <w:r w:rsidRPr="00546CAE">
        <w:rPr>
          <w:rStyle w:val="normaltextrun"/>
          <w:rFonts w:ascii="Gill Sans MT" w:eastAsiaTheme="majorEastAsia" w:hAnsi="Gill Sans MT" w:cs="Segoe UI"/>
          <w:sz w:val="26"/>
          <w:szCs w:val="26"/>
        </w:rPr>
        <w:t>decision to compensate residents they exiled was in accordance with international law. With this case having been a protracted legal battle in domestic and international courts since the early 2000s and with the average trial being 6 and a half years</w:t>
      </w:r>
      <w:r w:rsidR="00752184" w:rsidRPr="00546CAE">
        <w:rPr>
          <w:rStyle w:val="normaltextrun"/>
          <w:rFonts w:ascii="Gill Sans MT" w:eastAsiaTheme="majorEastAsia" w:hAnsi="Gill Sans MT" w:cs="Segoe UI"/>
          <w:sz w:val="26"/>
          <w:szCs w:val="26"/>
        </w:rPr>
        <w:t>,</w:t>
      </w:r>
      <w:r w:rsidRPr="00546CAE">
        <w:rPr>
          <w:rStyle w:val="normaltextrun"/>
          <w:rFonts w:ascii="Gill Sans MT" w:eastAsiaTheme="majorEastAsia" w:hAnsi="Gill Sans MT" w:cs="Segoe UI"/>
          <w:sz w:val="26"/>
          <w:szCs w:val="26"/>
        </w:rPr>
        <w:t xml:space="preserve"> it poses the question </w:t>
      </w:r>
      <w:r w:rsidR="00752184" w:rsidRPr="00546CAE">
        <w:rPr>
          <w:rStyle w:val="normaltextrun"/>
          <w:rFonts w:ascii="Gill Sans MT" w:eastAsiaTheme="majorEastAsia" w:hAnsi="Gill Sans MT" w:cs="Segoe UI"/>
          <w:sz w:val="26"/>
          <w:szCs w:val="26"/>
        </w:rPr>
        <w:t>of whether</w:t>
      </w:r>
      <w:r w:rsidRPr="00546CAE">
        <w:rPr>
          <w:rStyle w:val="normaltextrun"/>
          <w:rFonts w:ascii="Gill Sans MT" w:eastAsiaTheme="majorEastAsia" w:hAnsi="Gill Sans MT" w:cs="Segoe UI"/>
          <w:sz w:val="26"/>
          <w:szCs w:val="26"/>
        </w:rPr>
        <w:t xml:space="preserve"> they produce the intended result of settling disputes when they take so long to complete.</w:t>
      </w:r>
      <w:r w:rsidRPr="00546CAE">
        <w:rPr>
          <w:rStyle w:val="eop"/>
          <w:rFonts w:ascii="Gill Sans MT" w:eastAsiaTheme="majorEastAsia" w:hAnsi="Gill Sans MT" w:cs="Segoe UI"/>
          <w:sz w:val="26"/>
          <w:szCs w:val="26"/>
        </w:rPr>
        <w:t> </w:t>
      </w:r>
    </w:p>
    <w:p w14:paraId="0E1B43B1" w14:textId="77777777" w:rsidR="00427711" w:rsidRPr="00546CAE" w:rsidRDefault="00427711" w:rsidP="00427711">
      <w:pPr>
        <w:pStyle w:val="paragraph"/>
        <w:spacing w:before="0" w:beforeAutospacing="0" w:after="0" w:afterAutospacing="0"/>
        <w:textAlignment w:val="baseline"/>
        <w:rPr>
          <w:rFonts w:ascii="Gill Sans MT" w:hAnsi="Gill Sans MT" w:cs="Segoe UI"/>
          <w:sz w:val="26"/>
          <w:szCs w:val="26"/>
        </w:rPr>
      </w:pPr>
      <w:r w:rsidRPr="00546CAE">
        <w:rPr>
          <w:rStyle w:val="eop"/>
          <w:rFonts w:ascii="Gill Sans MT" w:eastAsiaTheme="majorEastAsia" w:hAnsi="Gill Sans MT" w:cs="Segoe UI"/>
          <w:sz w:val="26"/>
          <w:szCs w:val="26"/>
        </w:rPr>
        <w:t> </w:t>
      </w:r>
    </w:p>
    <w:p w14:paraId="47008F34" w14:textId="62A6A298" w:rsidR="00427711" w:rsidRPr="00546CAE" w:rsidRDefault="00427711" w:rsidP="00427711">
      <w:pPr>
        <w:pStyle w:val="paragraph"/>
        <w:spacing w:before="0" w:beforeAutospacing="0" w:after="0" w:afterAutospacing="0"/>
        <w:textAlignment w:val="baseline"/>
        <w:rPr>
          <w:rStyle w:val="eop"/>
          <w:rFonts w:ascii="Gill Sans MT" w:eastAsiaTheme="majorEastAsia" w:hAnsi="Gill Sans MT" w:cs="Segoe UI"/>
          <w:color w:val="000000"/>
          <w:sz w:val="26"/>
          <w:szCs w:val="26"/>
        </w:rPr>
      </w:pPr>
      <w:r w:rsidRPr="00546CAE">
        <w:rPr>
          <w:rStyle w:val="normaltextrun"/>
          <w:rFonts w:ascii="Gill Sans MT" w:eastAsiaTheme="majorEastAsia" w:hAnsi="Gill Sans MT" w:cs="Segoe UI"/>
          <w:sz w:val="26"/>
          <w:szCs w:val="26"/>
        </w:rPr>
        <w:t>Another example demonstrating the possible issue of countries simpl</w:t>
      </w:r>
      <w:r w:rsidR="00752184" w:rsidRPr="00546CAE">
        <w:rPr>
          <w:rStyle w:val="normaltextrun"/>
          <w:rFonts w:ascii="Gill Sans MT" w:eastAsiaTheme="majorEastAsia" w:hAnsi="Gill Sans MT" w:cs="Segoe UI"/>
          <w:sz w:val="26"/>
          <w:szCs w:val="26"/>
        </w:rPr>
        <w:t>y</w:t>
      </w:r>
      <w:r w:rsidRPr="00546CAE">
        <w:rPr>
          <w:rStyle w:val="normaltextrun"/>
          <w:rFonts w:ascii="Gill Sans MT" w:eastAsiaTheme="majorEastAsia" w:hAnsi="Gill Sans MT" w:cs="Segoe UI"/>
          <w:sz w:val="26"/>
          <w:szCs w:val="26"/>
        </w:rPr>
        <w:t xml:space="preserve"> ignoring the ICJ is Syria</w:t>
      </w:r>
      <w:r w:rsidR="00752184" w:rsidRPr="00546CAE">
        <w:rPr>
          <w:rStyle w:val="normaltextrun"/>
          <w:rFonts w:ascii="Gill Sans MT" w:eastAsiaTheme="majorEastAsia" w:hAnsi="Gill Sans MT" w:cs="Segoe UI"/>
          <w:sz w:val="26"/>
          <w:szCs w:val="26"/>
        </w:rPr>
        <w:t>,</w:t>
      </w:r>
      <w:r w:rsidRPr="00546CAE">
        <w:rPr>
          <w:rStyle w:val="normaltextrun"/>
          <w:rFonts w:ascii="Gill Sans MT" w:eastAsiaTheme="majorEastAsia" w:hAnsi="Gill Sans MT" w:cs="Segoe UI"/>
          <w:sz w:val="26"/>
          <w:szCs w:val="26"/>
        </w:rPr>
        <w:t> who ha</w:t>
      </w:r>
      <w:r w:rsidR="00752184" w:rsidRPr="00546CAE">
        <w:rPr>
          <w:rStyle w:val="normaltextrun"/>
          <w:rFonts w:ascii="Gill Sans MT" w:eastAsiaTheme="majorEastAsia" w:hAnsi="Gill Sans MT" w:cs="Segoe UI"/>
          <w:sz w:val="26"/>
          <w:szCs w:val="26"/>
        </w:rPr>
        <w:t>s</w:t>
      </w:r>
      <w:r w:rsidRPr="00546CAE">
        <w:rPr>
          <w:rStyle w:val="normaltextrun"/>
          <w:rFonts w:ascii="Gill Sans MT" w:eastAsiaTheme="majorEastAsia" w:hAnsi="Gill Sans MT" w:cs="Segoe UI"/>
          <w:sz w:val="26"/>
          <w:szCs w:val="26"/>
        </w:rPr>
        <w:t xml:space="preserve"> failed to comply with an </w:t>
      </w:r>
      <w:r w:rsidR="00752184" w:rsidRPr="00546CAE">
        <w:rPr>
          <w:rStyle w:val="normaltextrun"/>
          <w:rFonts w:ascii="Gill Sans MT" w:eastAsiaTheme="majorEastAsia" w:hAnsi="Gill Sans MT" w:cs="Segoe UI"/>
          <w:sz w:val="26"/>
          <w:szCs w:val="26"/>
        </w:rPr>
        <w:t>I</w:t>
      </w:r>
      <w:r w:rsidRPr="00546CAE">
        <w:rPr>
          <w:rStyle w:val="normaltextrun"/>
          <w:rFonts w:ascii="Gill Sans MT" w:eastAsiaTheme="majorEastAsia" w:hAnsi="Gill Sans MT" w:cs="Segoe UI"/>
          <w:sz w:val="26"/>
          <w:szCs w:val="26"/>
        </w:rPr>
        <w:t xml:space="preserve">nternational </w:t>
      </w:r>
      <w:r w:rsidR="00752184" w:rsidRPr="00546CAE">
        <w:rPr>
          <w:rStyle w:val="normaltextrun"/>
          <w:rFonts w:ascii="Gill Sans MT" w:eastAsiaTheme="majorEastAsia" w:hAnsi="Gill Sans MT" w:cs="Segoe UI"/>
          <w:sz w:val="26"/>
          <w:szCs w:val="26"/>
        </w:rPr>
        <w:t>C</w:t>
      </w:r>
      <w:r w:rsidRPr="00546CAE">
        <w:rPr>
          <w:rStyle w:val="normaltextrun"/>
          <w:rFonts w:ascii="Gill Sans MT" w:eastAsiaTheme="majorEastAsia" w:hAnsi="Gill Sans MT" w:cs="Segoe UI"/>
          <w:sz w:val="26"/>
          <w:szCs w:val="26"/>
        </w:rPr>
        <w:t xml:space="preserve">ourt of </w:t>
      </w:r>
      <w:r w:rsidR="00752184" w:rsidRPr="00546CAE">
        <w:rPr>
          <w:rStyle w:val="normaltextrun"/>
          <w:rFonts w:ascii="Gill Sans MT" w:eastAsiaTheme="majorEastAsia" w:hAnsi="Gill Sans MT" w:cs="Segoe UI"/>
          <w:sz w:val="26"/>
          <w:szCs w:val="26"/>
        </w:rPr>
        <w:t>J</w:t>
      </w:r>
      <w:r w:rsidRPr="00546CAE">
        <w:rPr>
          <w:rStyle w:val="normaltextrun"/>
          <w:rFonts w:ascii="Gill Sans MT" w:eastAsiaTheme="majorEastAsia" w:hAnsi="Gill Sans MT" w:cs="Segoe UI"/>
          <w:sz w:val="26"/>
          <w:szCs w:val="26"/>
        </w:rPr>
        <w:t>ustice order from two years ago</w:t>
      </w:r>
      <w:r w:rsidR="00752184" w:rsidRPr="00546CAE">
        <w:rPr>
          <w:rStyle w:val="normaltextrun"/>
          <w:rFonts w:ascii="Gill Sans MT" w:eastAsiaTheme="majorEastAsia" w:hAnsi="Gill Sans MT" w:cs="Segoe UI"/>
          <w:sz w:val="26"/>
          <w:szCs w:val="26"/>
        </w:rPr>
        <w:t>,</w:t>
      </w:r>
      <w:r w:rsidRPr="00546CAE">
        <w:rPr>
          <w:rStyle w:val="normaltextrun"/>
          <w:rFonts w:ascii="Gill Sans MT" w:eastAsiaTheme="majorEastAsia" w:hAnsi="Gill Sans MT" w:cs="Segoe UI"/>
          <w:sz w:val="26"/>
          <w:szCs w:val="26"/>
        </w:rPr>
        <w:t xml:space="preserve"> directing them to take all measures within its power to prevent acts of torture in the country. Since they have not complied</w:t>
      </w:r>
      <w:r w:rsidR="005E03CF" w:rsidRPr="00546CAE">
        <w:rPr>
          <w:rStyle w:val="normaltextrun"/>
          <w:rFonts w:ascii="Gill Sans MT" w:eastAsiaTheme="majorEastAsia" w:hAnsi="Gill Sans MT" w:cs="Segoe UI"/>
          <w:sz w:val="26"/>
          <w:szCs w:val="26"/>
        </w:rPr>
        <w:t>,</w:t>
      </w:r>
      <w:r w:rsidRPr="00546CAE">
        <w:rPr>
          <w:rStyle w:val="normaltextrun"/>
          <w:rFonts w:ascii="Gill Sans MT" w:eastAsiaTheme="majorEastAsia" w:hAnsi="Gill Sans MT" w:cs="Segoe UI"/>
          <w:sz w:val="26"/>
          <w:szCs w:val="26"/>
        </w:rPr>
        <w:t xml:space="preserve"> a secondary case was brought against them by Canada and the Netherlands in 2023</w:t>
      </w:r>
      <w:r w:rsidR="005E03CF" w:rsidRPr="00546CAE">
        <w:rPr>
          <w:rStyle w:val="normaltextrun"/>
          <w:rFonts w:ascii="Gill Sans MT" w:eastAsiaTheme="majorEastAsia" w:hAnsi="Gill Sans MT" w:cs="Segoe UI"/>
          <w:sz w:val="26"/>
          <w:szCs w:val="26"/>
        </w:rPr>
        <w:t>,</w:t>
      </w:r>
      <w:r w:rsidRPr="00546CAE">
        <w:rPr>
          <w:rStyle w:val="normaltextrun"/>
          <w:rFonts w:ascii="Gill Sans MT" w:eastAsiaTheme="majorEastAsia" w:hAnsi="Gill Sans MT" w:cs="Segoe UI"/>
          <w:sz w:val="26"/>
          <w:szCs w:val="26"/>
        </w:rPr>
        <w:t> with accusations of their failure to comply with the ICJ</w:t>
      </w:r>
      <w:r w:rsidR="005E03CF" w:rsidRPr="00546CAE">
        <w:rPr>
          <w:rStyle w:val="normaltextrun"/>
          <w:rFonts w:ascii="Gill Sans MT" w:eastAsiaTheme="majorEastAsia" w:hAnsi="Gill Sans MT" w:cs="Segoe UI"/>
          <w:sz w:val="26"/>
          <w:szCs w:val="26"/>
        </w:rPr>
        <w:t>’</w:t>
      </w:r>
      <w:r w:rsidRPr="00546CAE">
        <w:rPr>
          <w:rStyle w:val="normaltextrun"/>
          <w:rFonts w:ascii="Gill Sans MT" w:eastAsiaTheme="majorEastAsia" w:hAnsi="Gill Sans MT" w:cs="Segoe UI"/>
          <w:sz w:val="26"/>
          <w:szCs w:val="26"/>
        </w:rPr>
        <w:t>s order. In 2024</w:t>
      </w:r>
      <w:r w:rsidR="005E03CF" w:rsidRPr="00546CAE">
        <w:rPr>
          <w:rStyle w:val="normaltextrun"/>
          <w:rFonts w:ascii="Gill Sans MT" w:eastAsiaTheme="majorEastAsia" w:hAnsi="Gill Sans MT" w:cs="Segoe UI"/>
          <w:sz w:val="26"/>
          <w:szCs w:val="26"/>
        </w:rPr>
        <w:t>,</w:t>
      </w:r>
      <w:r w:rsidRPr="00546CAE">
        <w:rPr>
          <w:rStyle w:val="normaltextrun"/>
          <w:rFonts w:ascii="Gill Sans MT" w:eastAsiaTheme="majorEastAsia" w:hAnsi="Gill Sans MT" w:cs="Segoe UI"/>
          <w:sz w:val="26"/>
          <w:szCs w:val="26"/>
        </w:rPr>
        <w:t> they ruled</w:t>
      </w:r>
      <w:r w:rsidR="00C1602F" w:rsidRPr="00546CAE">
        <w:rPr>
          <w:rStyle w:val="normaltextrun"/>
          <w:rFonts w:ascii="Gill Sans MT" w:eastAsiaTheme="majorEastAsia" w:hAnsi="Gill Sans MT" w:cs="Segoe UI"/>
          <w:sz w:val="26"/>
          <w:szCs w:val="26"/>
        </w:rPr>
        <w:t xml:space="preserve"> that</w:t>
      </w:r>
      <w:r w:rsidRPr="00546CAE">
        <w:rPr>
          <w:rStyle w:val="normaltextrun"/>
          <w:rFonts w:ascii="Gill Sans MT" w:eastAsiaTheme="majorEastAsia" w:hAnsi="Gill Sans MT" w:cs="Segoe UI"/>
          <w:sz w:val="26"/>
          <w:szCs w:val="26"/>
        </w:rPr>
        <w:t xml:space="preserve"> Syria must implement the provisional measures ordered </w:t>
      </w:r>
      <w:r w:rsidR="00C1602F" w:rsidRPr="00546CAE">
        <w:rPr>
          <w:rStyle w:val="normaltextrun"/>
          <w:rFonts w:ascii="Gill Sans MT" w:eastAsiaTheme="majorEastAsia" w:hAnsi="Gill Sans MT" w:cs="Segoe UI"/>
          <w:sz w:val="26"/>
          <w:szCs w:val="26"/>
        </w:rPr>
        <w:t xml:space="preserve">by </w:t>
      </w:r>
      <w:r w:rsidRPr="00546CAE">
        <w:rPr>
          <w:rStyle w:val="normaltextrun"/>
          <w:rFonts w:ascii="Gill Sans MT" w:eastAsiaTheme="majorEastAsia" w:hAnsi="Gill Sans MT" w:cs="Segoe UI"/>
          <w:sz w:val="26"/>
          <w:szCs w:val="26"/>
        </w:rPr>
        <w:t>the</w:t>
      </w:r>
      <w:r w:rsidRPr="00546CAE">
        <w:rPr>
          <w:rStyle w:val="normaltextrun"/>
          <w:rFonts w:ascii="Gill Sans MT" w:eastAsiaTheme="majorEastAsia" w:hAnsi="Gill Sans MT" w:cs="Segoe UI"/>
          <w:color w:val="000000"/>
          <w:sz w:val="26"/>
          <w:szCs w:val="26"/>
        </w:rPr>
        <w:t> </w:t>
      </w:r>
      <w:r w:rsidR="00C1602F" w:rsidRPr="00546CAE">
        <w:rPr>
          <w:rStyle w:val="normaltextrun"/>
          <w:rFonts w:ascii="Gill Sans MT" w:eastAsiaTheme="majorEastAsia" w:hAnsi="Gill Sans MT" w:cs="Segoe UI"/>
          <w:color w:val="000000"/>
          <w:sz w:val="26"/>
          <w:szCs w:val="26"/>
        </w:rPr>
        <w:t>I</w:t>
      </w:r>
      <w:r w:rsidRPr="00546CAE">
        <w:rPr>
          <w:rStyle w:val="normaltextrun"/>
          <w:rFonts w:ascii="Gill Sans MT" w:eastAsiaTheme="majorEastAsia" w:hAnsi="Gill Sans MT" w:cs="Segoe UI"/>
          <w:color w:val="000000"/>
          <w:sz w:val="26"/>
          <w:szCs w:val="26"/>
        </w:rPr>
        <w:t xml:space="preserve">nternational </w:t>
      </w:r>
      <w:r w:rsidR="00C1602F" w:rsidRPr="00546CAE">
        <w:rPr>
          <w:rStyle w:val="normaltextrun"/>
          <w:rFonts w:ascii="Gill Sans MT" w:eastAsiaTheme="majorEastAsia" w:hAnsi="Gill Sans MT" w:cs="Segoe UI"/>
          <w:color w:val="000000"/>
          <w:sz w:val="26"/>
          <w:szCs w:val="26"/>
        </w:rPr>
        <w:t>C</w:t>
      </w:r>
      <w:r w:rsidRPr="00546CAE">
        <w:rPr>
          <w:rStyle w:val="normaltextrun"/>
          <w:rFonts w:ascii="Gill Sans MT" w:eastAsiaTheme="majorEastAsia" w:hAnsi="Gill Sans MT" w:cs="Segoe UI"/>
          <w:color w:val="000000"/>
          <w:sz w:val="26"/>
          <w:szCs w:val="26"/>
        </w:rPr>
        <w:t xml:space="preserve">ourt of </w:t>
      </w:r>
      <w:r w:rsidR="00C1602F" w:rsidRPr="00546CAE">
        <w:rPr>
          <w:rStyle w:val="normaltextrun"/>
          <w:rFonts w:ascii="Gill Sans MT" w:eastAsiaTheme="majorEastAsia" w:hAnsi="Gill Sans MT" w:cs="Segoe UI"/>
          <w:color w:val="000000"/>
          <w:sz w:val="26"/>
          <w:szCs w:val="26"/>
        </w:rPr>
        <w:t>J</w:t>
      </w:r>
      <w:r w:rsidRPr="00546CAE">
        <w:rPr>
          <w:rStyle w:val="normaltextrun"/>
          <w:rFonts w:ascii="Gill Sans MT" w:eastAsiaTheme="majorEastAsia" w:hAnsi="Gill Sans MT" w:cs="Segoe UI"/>
          <w:color w:val="000000"/>
          <w:sz w:val="26"/>
          <w:szCs w:val="26"/>
        </w:rPr>
        <w:t xml:space="preserve">ustice. Overall, since March 2011, the </w:t>
      </w:r>
      <w:r w:rsidR="00ED3528" w:rsidRPr="00546CAE">
        <w:rPr>
          <w:rStyle w:val="normaltextrun"/>
          <w:rFonts w:ascii="Gill Sans MT" w:eastAsiaTheme="majorEastAsia" w:hAnsi="Gill Sans MT" w:cs="Segoe UI"/>
          <w:color w:val="000000"/>
          <w:sz w:val="26"/>
          <w:szCs w:val="26"/>
        </w:rPr>
        <w:t>M</w:t>
      </w:r>
      <w:r w:rsidRPr="00546CAE">
        <w:rPr>
          <w:rStyle w:val="normaltextrun"/>
          <w:rFonts w:ascii="Gill Sans MT" w:eastAsiaTheme="majorEastAsia" w:hAnsi="Gill Sans MT" w:cs="Segoe UI"/>
          <w:color w:val="000000"/>
          <w:sz w:val="26"/>
          <w:szCs w:val="26"/>
        </w:rPr>
        <w:t xml:space="preserve">andate of the Special Rapporteur on Torture has individually, or jointly with other human rights experts, </w:t>
      </w:r>
      <w:r w:rsidR="000869DA" w:rsidRPr="00546CAE">
        <w:rPr>
          <w:rStyle w:val="normaltextrun"/>
          <w:rFonts w:ascii="Gill Sans MT" w:eastAsiaTheme="majorEastAsia" w:hAnsi="Gill Sans MT" w:cs="Segoe UI"/>
          <w:color w:val="000000"/>
          <w:sz w:val="26"/>
          <w:szCs w:val="26"/>
        </w:rPr>
        <w:t xml:space="preserve">submitted </w:t>
      </w:r>
      <w:r w:rsidRPr="00546CAE">
        <w:rPr>
          <w:rStyle w:val="normaltextrun"/>
          <w:rFonts w:ascii="Gill Sans MT" w:eastAsiaTheme="majorEastAsia" w:hAnsi="Gill Sans MT" w:cs="Segoe UI"/>
          <w:color w:val="000000"/>
          <w:sz w:val="26"/>
          <w:szCs w:val="26"/>
        </w:rPr>
        <w:t>around 30 communications to the Syrian Government involving allegations of torture and related ill-treatment. The Syrian Government has</w:t>
      </w:r>
      <w:r w:rsidR="00ED3528" w:rsidRPr="00546CAE">
        <w:rPr>
          <w:rStyle w:val="normaltextrun"/>
          <w:rFonts w:ascii="Gill Sans MT" w:eastAsiaTheme="majorEastAsia" w:hAnsi="Gill Sans MT" w:cs="Segoe UI"/>
          <w:color w:val="000000"/>
          <w:sz w:val="26"/>
          <w:szCs w:val="26"/>
        </w:rPr>
        <w:t>,</w:t>
      </w:r>
      <w:r w:rsidRPr="00546CAE">
        <w:rPr>
          <w:rStyle w:val="normaltextrun"/>
          <w:rFonts w:ascii="Gill Sans MT" w:eastAsiaTheme="majorEastAsia" w:hAnsi="Gill Sans MT" w:cs="Segoe UI"/>
          <w:color w:val="000000"/>
          <w:sz w:val="26"/>
          <w:szCs w:val="26"/>
        </w:rPr>
        <w:t xml:space="preserve"> to date</w:t>
      </w:r>
      <w:r w:rsidR="00ED3528" w:rsidRPr="00546CAE">
        <w:rPr>
          <w:rStyle w:val="normaltextrun"/>
          <w:rFonts w:ascii="Gill Sans MT" w:eastAsiaTheme="majorEastAsia" w:hAnsi="Gill Sans MT" w:cs="Segoe UI"/>
          <w:color w:val="000000"/>
          <w:sz w:val="26"/>
          <w:szCs w:val="26"/>
        </w:rPr>
        <w:t>,</w:t>
      </w:r>
      <w:r w:rsidRPr="00546CAE">
        <w:rPr>
          <w:rStyle w:val="normaltextrun"/>
          <w:rFonts w:ascii="Gill Sans MT" w:eastAsiaTheme="majorEastAsia" w:hAnsi="Gill Sans MT" w:cs="Segoe UI"/>
          <w:color w:val="000000"/>
          <w:sz w:val="26"/>
          <w:szCs w:val="26"/>
        </w:rPr>
        <w:t xml:space="preserve"> responded to eight of these communications. This shows how countries can simply ignore the ICJ</w:t>
      </w:r>
      <w:r w:rsidR="00ED3528" w:rsidRPr="00546CAE">
        <w:rPr>
          <w:rStyle w:val="normaltextrun"/>
          <w:rFonts w:ascii="Gill Sans MT" w:eastAsiaTheme="majorEastAsia" w:hAnsi="Gill Sans MT" w:cs="Segoe UI"/>
          <w:color w:val="000000"/>
          <w:sz w:val="26"/>
          <w:szCs w:val="26"/>
        </w:rPr>
        <w:t>’</w:t>
      </w:r>
      <w:r w:rsidRPr="00546CAE">
        <w:rPr>
          <w:rStyle w:val="normaltextrun"/>
          <w:rFonts w:ascii="Gill Sans MT" w:eastAsiaTheme="majorEastAsia" w:hAnsi="Gill Sans MT" w:cs="Segoe UI"/>
          <w:color w:val="000000"/>
          <w:sz w:val="26"/>
          <w:szCs w:val="26"/>
        </w:rPr>
        <w:t>s rulings</w:t>
      </w:r>
      <w:r w:rsidR="00ED3528" w:rsidRPr="00546CAE">
        <w:rPr>
          <w:rStyle w:val="normaltextrun"/>
          <w:rFonts w:ascii="Gill Sans MT" w:eastAsiaTheme="majorEastAsia" w:hAnsi="Gill Sans MT" w:cs="Segoe UI"/>
          <w:color w:val="000000"/>
          <w:sz w:val="26"/>
          <w:szCs w:val="26"/>
        </w:rPr>
        <w:t>,</w:t>
      </w:r>
      <w:r w:rsidRPr="00546CAE">
        <w:rPr>
          <w:rStyle w:val="normaltextrun"/>
          <w:rFonts w:ascii="Gill Sans MT" w:eastAsiaTheme="majorEastAsia" w:hAnsi="Gill Sans MT" w:cs="Segoe UI"/>
          <w:color w:val="000000"/>
          <w:sz w:val="26"/>
          <w:szCs w:val="26"/>
        </w:rPr>
        <w:t xml:space="preserve"> which again poses </w:t>
      </w:r>
      <w:r w:rsidR="002C17AB" w:rsidRPr="00546CAE">
        <w:rPr>
          <w:rStyle w:val="normaltextrun"/>
          <w:rFonts w:ascii="Gill Sans MT" w:eastAsiaTheme="majorEastAsia" w:hAnsi="Gill Sans MT" w:cs="Segoe UI"/>
          <w:color w:val="000000"/>
          <w:sz w:val="26"/>
          <w:szCs w:val="26"/>
        </w:rPr>
        <w:t xml:space="preserve">the </w:t>
      </w:r>
      <w:r w:rsidRPr="00546CAE">
        <w:rPr>
          <w:rStyle w:val="normaltextrun"/>
          <w:rFonts w:ascii="Gill Sans MT" w:eastAsiaTheme="majorEastAsia" w:hAnsi="Gill Sans MT" w:cs="Segoe UI"/>
          <w:color w:val="000000"/>
          <w:sz w:val="26"/>
          <w:szCs w:val="26"/>
        </w:rPr>
        <w:t xml:space="preserve">question </w:t>
      </w:r>
      <w:r w:rsidR="00B66761" w:rsidRPr="00546CAE">
        <w:rPr>
          <w:rStyle w:val="normaltextrun"/>
          <w:rFonts w:ascii="Gill Sans MT" w:eastAsiaTheme="majorEastAsia" w:hAnsi="Gill Sans MT" w:cs="Segoe UI"/>
          <w:color w:val="000000"/>
          <w:sz w:val="26"/>
          <w:szCs w:val="26"/>
        </w:rPr>
        <w:t>of</w:t>
      </w:r>
      <w:r w:rsidRPr="00546CAE">
        <w:rPr>
          <w:rStyle w:val="normaltextrun"/>
          <w:rFonts w:ascii="Gill Sans MT" w:eastAsiaTheme="majorEastAsia" w:hAnsi="Gill Sans MT" w:cs="Segoe UI"/>
          <w:color w:val="000000"/>
          <w:sz w:val="26"/>
          <w:szCs w:val="26"/>
        </w:rPr>
        <w:t xml:space="preserve"> the ICJ</w:t>
      </w:r>
      <w:r w:rsidR="00ED3528" w:rsidRPr="00546CAE">
        <w:rPr>
          <w:rStyle w:val="normaltextrun"/>
          <w:rFonts w:ascii="Gill Sans MT" w:eastAsiaTheme="majorEastAsia" w:hAnsi="Gill Sans MT" w:cs="Segoe UI"/>
          <w:color w:val="000000"/>
          <w:sz w:val="26"/>
          <w:szCs w:val="26"/>
        </w:rPr>
        <w:t>’</w:t>
      </w:r>
      <w:r w:rsidRPr="00546CAE">
        <w:rPr>
          <w:rStyle w:val="normaltextrun"/>
          <w:rFonts w:ascii="Gill Sans MT" w:eastAsiaTheme="majorEastAsia" w:hAnsi="Gill Sans MT" w:cs="Segoe UI"/>
          <w:color w:val="000000"/>
          <w:sz w:val="26"/>
          <w:szCs w:val="26"/>
        </w:rPr>
        <w:t>s efficacy</w:t>
      </w:r>
      <w:r w:rsidR="00B66761" w:rsidRPr="00546CAE">
        <w:rPr>
          <w:rStyle w:val="normaltextrun"/>
          <w:rFonts w:ascii="Gill Sans MT" w:eastAsiaTheme="majorEastAsia" w:hAnsi="Gill Sans MT" w:cs="Segoe UI"/>
          <w:color w:val="000000"/>
          <w:sz w:val="26"/>
          <w:szCs w:val="26"/>
        </w:rPr>
        <w:t>,</w:t>
      </w:r>
      <w:r w:rsidRPr="00546CAE">
        <w:rPr>
          <w:rStyle w:val="normaltextrun"/>
          <w:rFonts w:ascii="Gill Sans MT" w:eastAsiaTheme="majorEastAsia" w:hAnsi="Gill Sans MT" w:cs="Segoe UI"/>
          <w:color w:val="000000"/>
          <w:sz w:val="26"/>
          <w:szCs w:val="26"/>
        </w:rPr>
        <w:t xml:space="preserve"> as </w:t>
      </w:r>
      <w:r w:rsidR="00D63405" w:rsidRPr="00546CAE">
        <w:rPr>
          <w:rStyle w:val="normaltextrun"/>
          <w:rFonts w:ascii="Gill Sans MT" w:eastAsiaTheme="majorEastAsia" w:hAnsi="Gill Sans MT" w:cs="Segoe UI"/>
          <w:color w:val="000000"/>
          <w:sz w:val="26"/>
          <w:szCs w:val="26"/>
        </w:rPr>
        <w:t xml:space="preserve">Member States are able to </w:t>
      </w:r>
      <w:r w:rsidRPr="00546CAE">
        <w:rPr>
          <w:rStyle w:val="normaltextrun"/>
          <w:rFonts w:ascii="Gill Sans MT" w:eastAsiaTheme="majorEastAsia" w:hAnsi="Gill Sans MT" w:cs="Segoe UI"/>
          <w:color w:val="000000"/>
          <w:sz w:val="26"/>
          <w:szCs w:val="26"/>
        </w:rPr>
        <w:t>ignore t</w:t>
      </w:r>
      <w:r w:rsidR="002F1824" w:rsidRPr="00546CAE">
        <w:rPr>
          <w:rStyle w:val="normaltextrun"/>
          <w:rFonts w:ascii="Gill Sans MT" w:eastAsiaTheme="majorEastAsia" w:hAnsi="Gill Sans MT" w:cs="Segoe UI"/>
          <w:color w:val="000000"/>
          <w:sz w:val="26"/>
          <w:szCs w:val="26"/>
        </w:rPr>
        <w:t>he ICJ’s wishes</w:t>
      </w:r>
      <w:r w:rsidR="00224134" w:rsidRPr="00546CAE">
        <w:rPr>
          <w:rStyle w:val="normaltextrun"/>
          <w:rFonts w:ascii="Gill Sans MT" w:eastAsiaTheme="majorEastAsia" w:hAnsi="Gill Sans MT" w:cs="Segoe UI"/>
          <w:color w:val="000000"/>
          <w:sz w:val="26"/>
          <w:szCs w:val="26"/>
        </w:rPr>
        <w:t>,</w:t>
      </w:r>
      <w:r w:rsidR="00D63405" w:rsidRPr="00546CAE">
        <w:rPr>
          <w:rStyle w:val="normaltextrun"/>
          <w:rFonts w:ascii="Gill Sans MT" w:eastAsiaTheme="majorEastAsia" w:hAnsi="Gill Sans MT" w:cs="Segoe UI"/>
          <w:color w:val="000000"/>
          <w:sz w:val="26"/>
          <w:szCs w:val="26"/>
        </w:rPr>
        <w:t xml:space="preserve"> hinder</w:t>
      </w:r>
      <w:r w:rsidR="00224134" w:rsidRPr="00546CAE">
        <w:rPr>
          <w:rStyle w:val="normaltextrun"/>
          <w:rFonts w:ascii="Gill Sans MT" w:eastAsiaTheme="majorEastAsia" w:hAnsi="Gill Sans MT" w:cs="Segoe UI"/>
          <w:color w:val="000000"/>
          <w:sz w:val="26"/>
          <w:szCs w:val="26"/>
        </w:rPr>
        <w:t>ing</w:t>
      </w:r>
      <w:r w:rsidR="00D63405" w:rsidRPr="00546CAE">
        <w:rPr>
          <w:rStyle w:val="normaltextrun"/>
          <w:rFonts w:ascii="Gill Sans MT" w:eastAsiaTheme="majorEastAsia" w:hAnsi="Gill Sans MT" w:cs="Segoe UI"/>
          <w:color w:val="000000"/>
          <w:sz w:val="26"/>
          <w:szCs w:val="26"/>
        </w:rPr>
        <w:t xml:space="preserve"> the</w:t>
      </w:r>
      <w:r w:rsidR="00224134" w:rsidRPr="00546CAE">
        <w:rPr>
          <w:rStyle w:val="normaltextrun"/>
          <w:rFonts w:ascii="Gill Sans MT" w:eastAsiaTheme="majorEastAsia" w:hAnsi="Gill Sans MT" w:cs="Segoe UI"/>
          <w:color w:val="000000"/>
          <w:sz w:val="26"/>
          <w:szCs w:val="26"/>
        </w:rPr>
        <w:t>m</w:t>
      </w:r>
      <w:r w:rsidR="00D63405" w:rsidRPr="00546CAE">
        <w:rPr>
          <w:rStyle w:val="normaltextrun"/>
          <w:rFonts w:ascii="Gill Sans MT" w:eastAsiaTheme="majorEastAsia" w:hAnsi="Gill Sans MT" w:cs="Segoe UI"/>
          <w:color w:val="000000"/>
          <w:sz w:val="26"/>
          <w:szCs w:val="26"/>
        </w:rPr>
        <w:t xml:space="preserve"> from </w:t>
      </w:r>
      <w:r w:rsidRPr="00546CAE">
        <w:rPr>
          <w:rStyle w:val="normaltextrun"/>
          <w:rFonts w:ascii="Gill Sans MT" w:eastAsiaTheme="majorEastAsia" w:hAnsi="Gill Sans MT" w:cs="Segoe UI"/>
          <w:color w:val="000000"/>
          <w:sz w:val="26"/>
          <w:szCs w:val="26"/>
        </w:rPr>
        <w:t>successfully pe</w:t>
      </w:r>
      <w:r w:rsidR="00D63405" w:rsidRPr="00546CAE">
        <w:rPr>
          <w:rStyle w:val="normaltextrun"/>
          <w:rFonts w:ascii="Gill Sans MT" w:eastAsiaTheme="majorEastAsia" w:hAnsi="Gill Sans MT" w:cs="Segoe UI"/>
          <w:color w:val="000000"/>
          <w:sz w:val="26"/>
          <w:szCs w:val="26"/>
        </w:rPr>
        <w:t>r</w:t>
      </w:r>
      <w:r w:rsidRPr="00546CAE">
        <w:rPr>
          <w:rStyle w:val="normaltextrun"/>
          <w:rFonts w:ascii="Gill Sans MT" w:eastAsiaTheme="majorEastAsia" w:hAnsi="Gill Sans MT" w:cs="Segoe UI"/>
          <w:color w:val="000000"/>
          <w:sz w:val="26"/>
          <w:szCs w:val="26"/>
        </w:rPr>
        <w:t>form</w:t>
      </w:r>
      <w:r w:rsidR="00D63405" w:rsidRPr="00546CAE">
        <w:rPr>
          <w:rStyle w:val="normaltextrun"/>
          <w:rFonts w:ascii="Gill Sans MT" w:eastAsiaTheme="majorEastAsia" w:hAnsi="Gill Sans MT" w:cs="Segoe UI"/>
          <w:color w:val="000000"/>
          <w:sz w:val="26"/>
          <w:szCs w:val="26"/>
        </w:rPr>
        <w:t>ing</w:t>
      </w:r>
      <w:r w:rsidRPr="00546CAE">
        <w:rPr>
          <w:rStyle w:val="normaltextrun"/>
          <w:rFonts w:ascii="Gill Sans MT" w:eastAsiaTheme="majorEastAsia" w:hAnsi="Gill Sans MT" w:cs="Segoe UI"/>
          <w:color w:val="000000"/>
          <w:sz w:val="26"/>
          <w:szCs w:val="26"/>
        </w:rPr>
        <w:t> their duty.</w:t>
      </w:r>
    </w:p>
    <w:p w14:paraId="11DEAD5A" w14:textId="77777777" w:rsidR="00B66761" w:rsidRPr="00546CAE" w:rsidRDefault="00B66761" w:rsidP="00427711">
      <w:pPr>
        <w:pStyle w:val="paragraph"/>
        <w:spacing w:before="0" w:beforeAutospacing="0" w:after="0" w:afterAutospacing="0"/>
        <w:textAlignment w:val="baseline"/>
        <w:rPr>
          <w:rFonts w:ascii="Gill Sans MT" w:hAnsi="Gill Sans MT" w:cs="Segoe UI"/>
          <w:sz w:val="26"/>
          <w:szCs w:val="26"/>
        </w:rPr>
      </w:pPr>
    </w:p>
    <w:p w14:paraId="5302A084" w14:textId="77777777" w:rsidR="00546CAE" w:rsidRDefault="00546CAE" w:rsidP="00427711">
      <w:pPr>
        <w:pStyle w:val="paragraph"/>
        <w:spacing w:before="0" w:beforeAutospacing="0" w:after="0" w:afterAutospacing="0"/>
        <w:textAlignment w:val="baseline"/>
        <w:rPr>
          <w:rStyle w:val="normaltextrun"/>
          <w:rFonts w:ascii="Gill Sans MT" w:eastAsiaTheme="majorEastAsia" w:hAnsi="Gill Sans MT" w:cs="Segoe UI"/>
          <w:b/>
          <w:bCs/>
          <w:color w:val="000000"/>
          <w:sz w:val="26"/>
          <w:szCs w:val="26"/>
        </w:rPr>
      </w:pPr>
    </w:p>
    <w:p w14:paraId="4CDBC63E" w14:textId="77777777" w:rsidR="00546CAE" w:rsidRDefault="00546CAE" w:rsidP="00427711">
      <w:pPr>
        <w:pStyle w:val="paragraph"/>
        <w:spacing w:before="0" w:beforeAutospacing="0" w:after="0" w:afterAutospacing="0"/>
        <w:textAlignment w:val="baseline"/>
        <w:rPr>
          <w:rStyle w:val="normaltextrun"/>
          <w:rFonts w:ascii="Gill Sans MT" w:eastAsiaTheme="majorEastAsia" w:hAnsi="Gill Sans MT" w:cs="Segoe UI"/>
          <w:b/>
          <w:bCs/>
          <w:color w:val="000000"/>
          <w:sz w:val="26"/>
          <w:szCs w:val="26"/>
        </w:rPr>
      </w:pPr>
    </w:p>
    <w:p w14:paraId="108D7C33" w14:textId="77777777" w:rsidR="00546CAE" w:rsidRDefault="00546CAE" w:rsidP="00427711">
      <w:pPr>
        <w:pStyle w:val="paragraph"/>
        <w:spacing w:before="0" w:beforeAutospacing="0" w:after="0" w:afterAutospacing="0"/>
        <w:textAlignment w:val="baseline"/>
        <w:rPr>
          <w:rStyle w:val="normaltextrun"/>
          <w:rFonts w:ascii="Gill Sans MT" w:eastAsiaTheme="majorEastAsia" w:hAnsi="Gill Sans MT" w:cs="Segoe UI"/>
          <w:b/>
          <w:bCs/>
          <w:color w:val="000000"/>
          <w:sz w:val="26"/>
          <w:szCs w:val="26"/>
        </w:rPr>
      </w:pPr>
    </w:p>
    <w:p w14:paraId="5BFE652E" w14:textId="048B771A" w:rsidR="00546CAE" w:rsidRPr="00546CAE" w:rsidRDefault="00427711" w:rsidP="00427711">
      <w:pPr>
        <w:pStyle w:val="paragraph"/>
        <w:spacing w:before="0" w:beforeAutospacing="0" w:after="0" w:afterAutospacing="0"/>
        <w:textAlignment w:val="baseline"/>
        <w:rPr>
          <w:rFonts w:ascii="Gill Sans MT" w:eastAsiaTheme="majorEastAsia" w:hAnsi="Gill Sans MT" w:cs="Segoe UI"/>
          <w:b/>
          <w:bCs/>
          <w:color w:val="000000"/>
          <w:sz w:val="26"/>
          <w:szCs w:val="26"/>
        </w:rPr>
      </w:pPr>
      <w:r w:rsidRPr="00546CAE">
        <w:rPr>
          <w:rStyle w:val="normaltextrun"/>
          <w:rFonts w:ascii="Gill Sans MT" w:eastAsiaTheme="majorEastAsia" w:hAnsi="Gill Sans MT" w:cs="Segoe UI"/>
          <w:b/>
          <w:bCs/>
          <w:color w:val="000000"/>
          <w:sz w:val="26"/>
          <w:szCs w:val="26"/>
        </w:rPr>
        <w:lastRenderedPageBreak/>
        <w:t>Points to Consider:</w:t>
      </w:r>
    </w:p>
    <w:p w14:paraId="5BDB746A" w14:textId="49C7CEF8" w:rsidR="00427711" w:rsidRPr="00546CAE" w:rsidRDefault="00427711" w:rsidP="00BB6754">
      <w:pPr>
        <w:pStyle w:val="paragraph"/>
        <w:numPr>
          <w:ilvl w:val="0"/>
          <w:numId w:val="1"/>
        </w:numPr>
        <w:spacing w:before="0" w:beforeAutospacing="0" w:after="0" w:afterAutospacing="0"/>
        <w:textAlignment w:val="baseline"/>
        <w:rPr>
          <w:rFonts w:ascii="Gill Sans MT" w:hAnsi="Gill Sans MT" w:cs="Segoe UI"/>
          <w:sz w:val="26"/>
          <w:szCs w:val="26"/>
        </w:rPr>
      </w:pPr>
      <w:r w:rsidRPr="00546CAE">
        <w:rPr>
          <w:rStyle w:val="normaltextrun"/>
          <w:rFonts w:ascii="Gill Sans MT" w:eastAsiaTheme="majorEastAsia" w:hAnsi="Gill Sans MT" w:cs="Segoe UI"/>
          <w:color w:val="000000"/>
          <w:sz w:val="26"/>
          <w:szCs w:val="26"/>
        </w:rPr>
        <w:t>Does the ICJ pe</w:t>
      </w:r>
      <w:r w:rsidR="00BB6754" w:rsidRPr="00546CAE">
        <w:rPr>
          <w:rStyle w:val="normaltextrun"/>
          <w:rFonts w:ascii="Gill Sans MT" w:eastAsiaTheme="majorEastAsia" w:hAnsi="Gill Sans MT" w:cs="Segoe UI"/>
          <w:color w:val="000000"/>
          <w:sz w:val="26"/>
          <w:szCs w:val="26"/>
        </w:rPr>
        <w:t>r</w:t>
      </w:r>
      <w:r w:rsidRPr="00546CAE">
        <w:rPr>
          <w:rStyle w:val="normaltextrun"/>
          <w:rFonts w:ascii="Gill Sans MT" w:eastAsiaTheme="majorEastAsia" w:hAnsi="Gill Sans MT" w:cs="Segoe UI"/>
          <w:color w:val="000000"/>
          <w:sz w:val="26"/>
          <w:szCs w:val="26"/>
        </w:rPr>
        <w:t>form its intended purpose?</w:t>
      </w:r>
      <w:r w:rsidRPr="00546CAE">
        <w:rPr>
          <w:rStyle w:val="eop"/>
          <w:rFonts w:ascii="Gill Sans MT" w:eastAsiaTheme="majorEastAsia" w:hAnsi="Gill Sans MT" w:cs="Segoe UI"/>
          <w:color w:val="000000"/>
          <w:sz w:val="26"/>
          <w:szCs w:val="26"/>
        </w:rPr>
        <w:t> </w:t>
      </w:r>
    </w:p>
    <w:p w14:paraId="0D0DF33B" w14:textId="77777777" w:rsidR="00427711" w:rsidRPr="00546CAE" w:rsidRDefault="00427711" w:rsidP="00BB6754">
      <w:pPr>
        <w:pStyle w:val="paragraph"/>
        <w:numPr>
          <w:ilvl w:val="0"/>
          <w:numId w:val="1"/>
        </w:numPr>
        <w:spacing w:before="0" w:beforeAutospacing="0" w:after="0" w:afterAutospacing="0"/>
        <w:textAlignment w:val="baseline"/>
        <w:rPr>
          <w:rFonts w:ascii="Gill Sans MT" w:hAnsi="Gill Sans MT" w:cs="Segoe UI"/>
          <w:sz w:val="26"/>
          <w:szCs w:val="26"/>
        </w:rPr>
      </w:pPr>
      <w:r w:rsidRPr="00546CAE">
        <w:rPr>
          <w:rStyle w:val="normaltextrun"/>
          <w:rFonts w:ascii="Gill Sans MT" w:eastAsiaTheme="majorEastAsia" w:hAnsi="Gill Sans MT" w:cs="Segoe UI"/>
          <w:color w:val="000000"/>
          <w:sz w:val="26"/>
          <w:szCs w:val="26"/>
        </w:rPr>
        <w:t>Should we try to improve the length of trial in the ICJ?</w:t>
      </w:r>
      <w:r w:rsidRPr="00546CAE">
        <w:rPr>
          <w:rStyle w:val="eop"/>
          <w:rFonts w:ascii="Gill Sans MT" w:eastAsiaTheme="majorEastAsia" w:hAnsi="Gill Sans MT" w:cs="Segoe UI"/>
          <w:color w:val="000000"/>
          <w:sz w:val="26"/>
          <w:szCs w:val="26"/>
        </w:rPr>
        <w:t> </w:t>
      </w:r>
    </w:p>
    <w:p w14:paraId="6B38E769" w14:textId="77777777" w:rsidR="00427711" w:rsidRPr="00546CAE" w:rsidRDefault="00427711" w:rsidP="00BB6754">
      <w:pPr>
        <w:pStyle w:val="paragraph"/>
        <w:numPr>
          <w:ilvl w:val="0"/>
          <w:numId w:val="1"/>
        </w:numPr>
        <w:spacing w:before="0" w:beforeAutospacing="0" w:after="0" w:afterAutospacing="0"/>
        <w:textAlignment w:val="baseline"/>
        <w:rPr>
          <w:rFonts w:ascii="Gill Sans MT" w:hAnsi="Gill Sans MT" w:cs="Segoe UI"/>
          <w:sz w:val="26"/>
          <w:szCs w:val="26"/>
        </w:rPr>
      </w:pPr>
      <w:r w:rsidRPr="00546CAE">
        <w:rPr>
          <w:rStyle w:val="normaltextrun"/>
          <w:rFonts w:ascii="Gill Sans MT" w:eastAsiaTheme="majorEastAsia" w:hAnsi="Gill Sans MT" w:cs="Segoe UI"/>
          <w:color w:val="000000"/>
          <w:sz w:val="26"/>
          <w:szCs w:val="26"/>
        </w:rPr>
        <w:t>How do we improve the efficacy the ICJ?</w:t>
      </w:r>
      <w:r w:rsidRPr="00546CAE">
        <w:rPr>
          <w:rStyle w:val="eop"/>
          <w:rFonts w:ascii="Gill Sans MT" w:eastAsiaTheme="majorEastAsia" w:hAnsi="Gill Sans MT" w:cs="Segoe UI"/>
          <w:color w:val="000000"/>
          <w:sz w:val="26"/>
          <w:szCs w:val="26"/>
        </w:rPr>
        <w:t> </w:t>
      </w:r>
    </w:p>
    <w:p w14:paraId="796231EC" w14:textId="54E44AFA" w:rsidR="004B2B93" w:rsidRPr="00546CAE" w:rsidRDefault="00427711" w:rsidP="00BB6754">
      <w:pPr>
        <w:pStyle w:val="paragraph"/>
        <w:numPr>
          <w:ilvl w:val="0"/>
          <w:numId w:val="1"/>
        </w:numPr>
        <w:spacing w:before="0" w:beforeAutospacing="0" w:after="0" w:afterAutospacing="0"/>
        <w:textAlignment w:val="baseline"/>
        <w:rPr>
          <w:rStyle w:val="normaltextrun"/>
          <w:rFonts w:ascii="Gill Sans MT" w:hAnsi="Gill Sans MT" w:cs="Segoe UI"/>
          <w:sz w:val="26"/>
          <w:szCs w:val="26"/>
        </w:rPr>
      </w:pPr>
      <w:r w:rsidRPr="00546CAE">
        <w:rPr>
          <w:rStyle w:val="normaltextrun"/>
          <w:rFonts w:ascii="Gill Sans MT" w:eastAsiaTheme="majorEastAsia" w:hAnsi="Gill Sans MT" w:cs="Segoe UI"/>
          <w:color w:val="000000"/>
          <w:sz w:val="26"/>
          <w:szCs w:val="26"/>
        </w:rPr>
        <w:t>Should the ICJ be held responsible for its issues in efficacy?</w:t>
      </w:r>
    </w:p>
    <w:p w14:paraId="457CE9A5" w14:textId="77777777" w:rsidR="00546CAE" w:rsidRDefault="00546CAE" w:rsidP="00546CAE">
      <w:pPr>
        <w:pStyle w:val="paragraph"/>
        <w:spacing w:before="0" w:beforeAutospacing="0" w:after="0" w:afterAutospacing="0"/>
        <w:textAlignment w:val="baseline"/>
        <w:rPr>
          <w:rStyle w:val="normaltextrun"/>
          <w:rFonts w:ascii="Gill Sans MT" w:eastAsiaTheme="majorEastAsia" w:hAnsi="Gill Sans MT" w:cs="Segoe UI"/>
          <w:color w:val="000000"/>
          <w:sz w:val="26"/>
          <w:szCs w:val="26"/>
        </w:rPr>
      </w:pPr>
    </w:p>
    <w:p w14:paraId="2A537B7A" w14:textId="15771F4C" w:rsidR="00546CAE" w:rsidRDefault="00546CAE" w:rsidP="00546CAE">
      <w:pPr>
        <w:pStyle w:val="paragraph"/>
        <w:spacing w:before="0" w:beforeAutospacing="0" w:after="0" w:afterAutospacing="0"/>
        <w:textAlignment w:val="baseline"/>
        <w:rPr>
          <w:rStyle w:val="normaltextrun"/>
          <w:rFonts w:ascii="Gill Sans MT" w:eastAsiaTheme="majorEastAsia" w:hAnsi="Gill Sans MT" w:cs="Segoe UI"/>
          <w:color w:val="000000"/>
          <w:sz w:val="26"/>
          <w:szCs w:val="26"/>
        </w:rPr>
      </w:pPr>
      <w:r>
        <w:rPr>
          <w:rStyle w:val="normaltextrun"/>
          <w:rFonts w:ascii="Gill Sans MT" w:eastAsiaTheme="majorEastAsia" w:hAnsi="Gill Sans MT" w:cs="Segoe UI"/>
          <w:b/>
          <w:bCs/>
          <w:color w:val="000000"/>
          <w:sz w:val="26"/>
          <w:szCs w:val="26"/>
        </w:rPr>
        <w:t>Relevant Resources:</w:t>
      </w:r>
    </w:p>
    <w:p w14:paraId="75739AD7" w14:textId="5E5D10C2" w:rsidR="00546CAE" w:rsidRDefault="00457158" w:rsidP="00546CAE">
      <w:pPr>
        <w:pStyle w:val="paragraph"/>
        <w:numPr>
          <w:ilvl w:val="0"/>
          <w:numId w:val="2"/>
        </w:numPr>
        <w:spacing w:before="0" w:beforeAutospacing="0" w:after="0" w:afterAutospacing="0"/>
        <w:textAlignment w:val="baseline"/>
        <w:rPr>
          <w:rFonts w:ascii="Gill Sans MT" w:hAnsi="Gill Sans MT" w:cs="Segoe UI"/>
          <w:sz w:val="26"/>
          <w:szCs w:val="26"/>
        </w:rPr>
      </w:pPr>
      <w:hyperlink r:id="rId8" w:history="1">
        <w:r w:rsidRPr="004E24EE">
          <w:rPr>
            <w:rStyle w:val="Hyperlink"/>
            <w:rFonts w:ascii="Gill Sans MT" w:hAnsi="Gill Sans MT" w:cs="Segoe UI"/>
            <w:sz w:val="26"/>
            <w:szCs w:val="26"/>
          </w:rPr>
          <w:t>https://www.un.org/en/about-us/un-charter/statute-of-the-international-court-of-justice</w:t>
        </w:r>
      </w:hyperlink>
    </w:p>
    <w:p w14:paraId="651F1401" w14:textId="751DC1DA" w:rsidR="00457158" w:rsidRDefault="007D50A9" w:rsidP="00546CAE">
      <w:pPr>
        <w:pStyle w:val="paragraph"/>
        <w:numPr>
          <w:ilvl w:val="0"/>
          <w:numId w:val="2"/>
        </w:numPr>
        <w:spacing w:before="0" w:beforeAutospacing="0" w:after="0" w:afterAutospacing="0"/>
        <w:textAlignment w:val="baseline"/>
        <w:rPr>
          <w:rFonts w:ascii="Gill Sans MT" w:hAnsi="Gill Sans MT" w:cs="Segoe UI"/>
          <w:sz w:val="26"/>
          <w:szCs w:val="26"/>
        </w:rPr>
      </w:pPr>
      <w:hyperlink r:id="rId9" w:history="1">
        <w:r w:rsidRPr="004E24EE">
          <w:rPr>
            <w:rStyle w:val="Hyperlink"/>
            <w:rFonts w:ascii="Gill Sans MT" w:hAnsi="Gill Sans MT" w:cs="Segoe UI"/>
            <w:sz w:val="26"/>
            <w:szCs w:val="26"/>
          </w:rPr>
          <w:t>https://www.ungeneva.org/en/news-media/news/2024/01/89269/what-international-court-justice-and-why-does-it-matter</w:t>
        </w:r>
      </w:hyperlink>
    </w:p>
    <w:p w14:paraId="2FB09199" w14:textId="4C0FD208" w:rsidR="007D50A9" w:rsidRDefault="009152F4" w:rsidP="00546CAE">
      <w:pPr>
        <w:pStyle w:val="paragraph"/>
        <w:numPr>
          <w:ilvl w:val="0"/>
          <w:numId w:val="2"/>
        </w:numPr>
        <w:spacing w:before="0" w:beforeAutospacing="0" w:after="0" w:afterAutospacing="0"/>
        <w:textAlignment w:val="baseline"/>
        <w:rPr>
          <w:rFonts w:ascii="Gill Sans MT" w:hAnsi="Gill Sans MT" w:cs="Segoe UI"/>
          <w:sz w:val="26"/>
          <w:szCs w:val="26"/>
        </w:rPr>
      </w:pPr>
      <w:hyperlink r:id="rId10" w:history="1">
        <w:r w:rsidRPr="004E24EE">
          <w:rPr>
            <w:rStyle w:val="Hyperlink"/>
            <w:rFonts w:ascii="Gill Sans MT" w:hAnsi="Gill Sans MT" w:cs="Segoe UI"/>
            <w:sz w:val="26"/>
            <w:szCs w:val="26"/>
          </w:rPr>
          <w:t>https://papers.ssrn.com/sol3/papers.cfm?abstract_id=3801580</w:t>
        </w:r>
      </w:hyperlink>
    </w:p>
    <w:p w14:paraId="40523BCC" w14:textId="4214F523" w:rsidR="00942254" w:rsidRDefault="00942254" w:rsidP="00942254">
      <w:pPr>
        <w:pStyle w:val="paragraph"/>
        <w:numPr>
          <w:ilvl w:val="0"/>
          <w:numId w:val="2"/>
        </w:numPr>
        <w:spacing w:before="0" w:beforeAutospacing="0" w:after="0" w:afterAutospacing="0"/>
        <w:textAlignment w:val="baseline"/>
        <w:rPr>
          <w:rFonts w:ascii="Gill Sans MT" w:hAnsi="Gill Sans MT" w:cs="Segoe UI"/>
          <w:sz w:val="26"/>
          <w:szCs w:val="26"/>
        </w:rPr>
      </w:pPr>
      <w:hyperlink r:id="rId11" w:history="1">
        <w:r w:rsidRPr="004E24EE">
          <w:rPr>
            <w:rStyle w:val="Hyperlink"/>
            <w:rFonts w:ascii="Gill Sans MT" w:hAnsi="Gill Sans MT" w:cs="Segoe UI"/>
            <w:sz w:val="26"/>
            <w:szCs w:val="26"/>
          </w:rPr>
          <w:t>https://www.icj-cij.org/how-the-court-works</w:t>
        </w:r>
      </w:hyperlink>
    </w:p>
    <w:p w14:paraId="4FD75E71" w14:textId="77777777" w:rsidR="00942254" w:rsidRPr="00942254" w:rsidRDefault="00942254" w:rsidP="00942254">
      <w:pPr>
        <w:pStyle w:val="paragraph"/>
        <w:spacing w:before="0" w:beforeAutospacing="0" w:after="0" w:afterAutospacing="0"/>
        <w:textAlignment w:val="baseline"/>
        <w:rPr>
          <w:rFonts w:ascii="Gill Sans MT" w:hAnsi="Gill Sans MT" w:cs="Segoe UI"/>
          <w:sz w:val="26"/>
          <w:szCs w:val="26"/>
        </w:rPr>
      </w:pPr>
    </w:p>
    <w:sectPr w:rsidR="00942254" w:rsidRPr="009422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D67D73"/>
    <w:multiLevelType w:val="hybridMultilevel"/>
    <w:tmpl w:val="39F6E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9E2185"/>
    <w:multiLevelType w:val="hybridMultilevel"/>
    <w:tmpl w:val="617AF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8138786">
    <w:abstractNumId w:val="0"/>
  </w:num>
  <w:num w:numId="2" w16cid:durableId="881654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711"/>
    <w:rsid w:val="0006129A"/>
    <w:rsid w:val="000869DA"/>
    <w:rsid w:val="00224134"/>
    <w:rsid w:val="002C17AB"/>
    <w:rsid w:val="002F1824"/>
    <w:rsid w:val="003E5EA7"/>
    <w:rsid w:val="00427711"/>
    <w:rsid w:val="00457158"/>
    <w:rsid w:val="004B2B93"/>
    <w:rsid w:val="00546CAE"/>
    <w:rsid w:val="005B326A"/>
    <w:rsid w:val="005E03CF"/>
    <w:rsid w:val="00685D8A"/>
    <w:rsid w:val="00752184"/>
    <w:rsid w:val="007D50A9"/>
    <w:rsid w:val="007F4FD4"/>
    <w:rsid w:val="0081702E"/>
    <w:rsid w:val="00866979"/>
    <w:rsid w:val="008E5600"/>
    <w:rsid w:val="009152F4"/>
    <w:rsid w:val="00942254"/>
    <w:rsid w:val="0094784E"/>
    <w:rsid w:val="009A3ED8"/>
    <w:rsid w:val="00B434BF"/>
    <w:rsid w:val="00B66761"/>
    <w:rsid w:val="00BB6754"/>
    <w:rsid w:val="00C1602F"/>
    <w:rsid w:val="00D63405"/>
    <w:rsid w:val="00E36C05"/>
    <w:rsid w:val="00ED3528"/>
    <w:rsid w:val="00F97A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98C5C"/>
  <w15:chartTrackingRefBased/>
  <w15:docId w15:val="{D5B0E1CE-EA9B-4CEE-B870-9FDC1C28E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77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77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77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77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77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77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77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77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77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77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77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77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77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77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77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77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77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7711"/>
    <w:rPr>
      <w:rFonts w:eastAsiaTheme="majorEastAsia" w:cstheme="majorBidi"/>
      <w:color w:val="272727" w:themeColor="text1" w:themeTint="D8"/>
    </w:rPr>
  </w:style>
  <w:style w:type="paragraph" w:styleId="Title">
    <w:name w:val="Title"/>
    <w:basedOn w:val="Normal"/>
    <w:next w:val="Normal"/>
    <w:link w:val="TitleChar"/>
    <w:uiPriority w:val="10"/>
    <w:qFormat/>
    <w:rsid w:val="004277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77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77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77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7711"/>
    <w:pPr>
      <w:spacing w:before="160"/>
      <w:jc w:val="center"/>
    </w:pPr>
    <w:rPr>
      <w:i/>
      <w:iCs/>
      <w:color w:val="404040" w:themeColor="text1" w:themeTint="BF"/>
    </w:rPr>
  </w:style>
  <w:style w:type="character" w:customStyle="1" w:styleId="QuoteChar">
    <w:name w:val="Quote Char"/>
    <w:basedOn w:val="DefaultParagraphFont"/>
    <w:link w:val="Quote"/>
    <w:uiPriority w:val="29"/>
    <w:rsid w:val="00427711"/>
    <w:rPr>
      <w:i/>
      <w:iCs/>
      <w:color w:val="404040" w:themeColor="text1" w:themeTint="BF"/>
    </w:rPr>
  </w:style>
  <w:style w:type="paragraph" w:styleId="ListParagraph">
    <w:name w:val="List Paragraph"/>
    <w:basedOn w:val="Normal"/>
    <w:uiPriority w:val="34"/>
    <w:qFormat/>
    <w:rsid w:val="00427711"/>
    <w:pPr>
      <w:ind w:left="720"/>
      <w:contextualSpacing/>
    </w:pPr>
  </w:style>
  <w:style w:type="character" w:styleId="IntenseEmphasis">
    <w:name w:val="Intense Emphasis"/>
    <w:basedOn w:val="DefaultParagraphFont"/>
    <w:uiPriority w:val="21"/>
    <w:qFormat/>
    <w:rsid w:val="00427711"/>
    <w:rPr>
      <w:i/>
      <w:iCs/>
      <w:color w:val="0F4761" w:themeColor="accent1" w:themeShade="BF"/>
    </w:rPr>
  </w:style>
  <w:style w:type="paragraph" w:styleId="IntenseQuote">
    <w:name w:val="Intense Quote"/>
    <w:basedOn w:val="Normal"/>
    <w:next w:val="Normal"/>
    <w:link w:val="IntenseQuoteChar"/>
    <w:uiPriority w:val="30"/>
    <w:qFormat/>
    <w:rsid w:val="004277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7711"/>
    <w:rPr>
      <w:i/>
      <w:iCs/>
      <w:color w:val="0F4761" w:themeColor="accent1" w:themeShade="BF"/>
    </w:rPr>
  </w:style>
  <w:style w:type="character" w:styleId="IntenseReference">
    <w:name w:val="Intense Reference"/>
    <w:basedOn w:val="DefaultParagraphFont"/>
    <w:uiPriority w:val="32"/>
    <w:qFormat/>
    <w:rsid w:val="00427711"/>
    <w:rPr>
      <w:b/>
      <w:bCs/>
      <w:smallCaps/>
      <w:color w:val="0F4761" w:themeColor="accent1" w:themeShade="BF"/>
      <w:spacing w:val="5"/>
    </w:rPr>
  </w:style>
  <w:style w:type="paragraph" w:customStyle="1" w:styleId="paragraph">
    <w:name w:val="paragraph"/>
    <w:basedOn w:val="Normal"/>
    <w:rsid w:val="0042771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27711"/>
  </w:style>
  <w:style w:type="character" w:customStyle="1" w:styleId="eop">
    <w:name w:val="eop"/>
    <w:basedOn w:val="DefaultParagraphFont"/>
    <w:rsid w:val="00427711"/>
  </w:style>
  <w:style w:type="character" w:styleId="Hyperlink">
    <w:name w:val="Hyperlink"/>
    <w:basedOn w:val="DefaultParagraphFont"/>
    <w:uiPriority w:val="99"/>
    <w:unhideWhenUsed/>
    <w:rsid w:val="00457158"/>
    <w:rPr>
      <w:color w:val="467886" w:themeColor="hyperlink"/>
      <w:u w:val="single"/>
    </w:rPr>
  </w:style>
  <w:style w:type="character" w:styleId="UnresolvedMention">
    <w:name w:val="Unresolved Mention"/>
    <w:basedOn w:val="DefaultParagraphFont"/>
    <w:uiPriority w:val="99"/>
    <w:semiHidden/>
    <w:unhideWhenUsed/>
    <w:rsid w:val="004571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org/en/about-us/un-charter/statute-of-the-international-court-of-justice"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cj-cij.org/how-the-court-works" TargetMode="External"/><Relationship Id="rId5" Type="http://schemas.openxmlformats.org/officeDocument/2006/relationships/styles" Target="styles.xml"/><Relationship Id="rId10" Type="http://schemas.openxmlformats.org/officeDocument/2006/relationships/hyperlink" Target="https://papers.ssrn.com/sol3/papers.cfm?abstract_id=3801580" TargetMode="External"/><Relationship Id="rId4" Type="http://schemas.openxmlformats.org/officeDocument/2006/relationships/numbering" Target="numbering.xml"/><Relationship Id="rId9" Type="http://schemas.openxmlformats.org/officeDocument/2006/relationships/hyperlink" Target="https://www.ungeneva.org/en/news-media/news/2024/01/89269/what-international-court-justice-and-why-does-it-ma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7f3379-bb41-4c9f-907e-05b05736320e" xsi:nil="true"/>
    <lcf76f155ced4ddcb4097134ff3c332f xmlns="c7cf3323-b876-4cf8-8941-d4c52aa1606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7D0EDBDEA6D44C89EDBE0FEB162887" ma:contentTypeVersion="10" ma:contentTypeDescription="Create a new document." ma:contentTypeScope="" ma:versionID="572f2ca196612262baa3202cc5eaa199">
  <xsd:schema xmlns:xsd="http://www.w3.org/2001/XMLSchema" xmlns:xs="http://www.w3.org/2001/XMLSchema" xmlns:p="http://schemas.microsoft.com/office/2006/metadata/properties" xmlns:ns2="c7cf3323-b876-4cf8-8941-d4c52aa16067" xmlns:ns3="097f3379-bb41-4c9f-907e-05b05736320e" targetNamespace="http://schemas.microsoft.com/office/2006/metadata/properties" ma:root="true" ma:fieldsID="1743b531841f763461b8a29144c37068" ns2:_="" ns3:_="">
    <xsd:import namespace="c7cf3323-b876-4cf8-8941-d4c52aa16067"/>
    <xsd:import namespace="097f3379-bb41-4c9f-907e-05b0573632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f3323-b876-4cf8-8941-d4c52aa160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258aaaa-607e-458a-b647-6d735a4c639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7f3379-bb41-4c9f-907e-05b05736320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97acd65-312e-439f-b819-b9070f5f3cdf}" ma:internalName="TaxCatchAll" ma:showField="CatchAllData" ma:web="097f3379-bb41-4c9f-907e-05b0573632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017F7A-2C14-40DD-AD61-9291E65D4E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83EF403-E134-45A9-8546-16BEFD91CC6F}">
  <ds:schemaRefs>
    <ds:schemaRef ds:uri="http://schemas.microsoft.com/sharepoint/v3/contenttype/forms"/>
  </ds:schemaRefs>
</ds:datastoreItem>
</file>

<file path=customXml/itemProps3.xml><?xml version="1.0" encoding="utf-8"?>
<ds:datastoreItem xmlns:ds="http://schemas.openxmlformats.org/officeDocument/2006/customXml" ds:itemID="{B6AFBA79-33D7-4FE6-9034-CE8081845093}"/>
</file>

<file path=docProps/app.xml><?xml version="1.0" encoding="utf-8"?>
<Properties xmlns="http://schemas.openxmlformats.org/officeDocument/2006/extended-properties" xmlns:vt="http://schemas.openxmlformats.org/officeDocument/2006/docPropsVTypes">
  <Template>Normal</Template>
  <TotalTime>20</TotalTime>
  <Pages>2</Pages>
  <Words>542</Words>
  <Characters>3091</Characters>
  <Application>Microsoft Office Word</Application>
  <DocSecurity>0</DocSecurity>
  <Lines>25</Lines>
  <Paragraphs>7</Paragraphs>
  <ScaleCrop>false</ScaleCrop>
  <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Kiyah-Louise Lopez (S6SN)</dc:creator>
  <cp:keywords/>
  <dc:description/>
  <cp:lastModifiedBy>Kiyah-Louise Lopez (S6SN)</cp:lastModifiedBy>
  <cp:revision>21</cp:revision>
  <dcterms:created xsi:type="dcterms:W3CDTF">2025-12-22T10:08:00Z</dcterms:created>
  <dcterms:modified xsi:type="dcterms:W3CDTF">2026-01-26T21:19:00Z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0x010100FA7D0EDBDEA6D44C89EDBE0FEB162887</vt:lpwstr>
  </property>
</Properties>
</file>